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5"/>
        <w:gridCol w:w="2592"/>
      </w:tblGrid>
      <w:tr w:rsidR="00F0016E" w:rsidRPr="00506530" w14:paraId="4F648ACC" w14:textId="77777777" w:rsidTr="00506530">
        <w:trPr>
          <w:jc w:val="right"/>
        </w:trPr>
        <w:tc>
          <w:tcPr>
            <w:tcW w:w="3415" w:type="dxa"/>
            <w:tcBorders>
              <w:top w:val="single" w:sz="4" w:space="0" w:color="auto"/>
              <w:left w:val="single" w:sz="4" w:space="0" w:color="auto"/>
              <w:bottom w:val="single" w:sz="4" w:space="0" w:color="auto"/>
              <w:right w:val="single" w:sz="4" w:space="0" w:color="auto"/>
            </w:tcBorders>
            <w:hideMark/>
          </w:tcPr>
          <w:p w14:paraId="04C6BAEA" w14:textId="77777777" w:rsidR="00F0016E" w:rsidRPr="00506530" w:rsidRDefault="00F0016E" w:rsidP="00507FA5">
            <w:pPr>
              <w:spacing w:line="23" w:lineRule="atLeast"/>
              <w:rPr>
                <w:rFonts w:ascii="Times New Roman" w:hAnsi="Times New Roman"/>
                <w:color w:val="auto"/>
                <w:szCs w:val="22"/>
                <w:lang w:val="es-419"/>
              </w:rPr>
            </w:pPr>
            <w:bookmarkStart w:id="0" w:name="_Hlk182892641"/>
            <w:r w:rsidRPr="00506530">
              <w:rPr>
                <w:rFonts w:ascii="Times New Roman" w:hAnsi="Times New Roman"/>
                <w:color w:val="auto"/>
                <w:szCs w:val="22"/>
                <w:lang w:val="es-419"/>
              </w:rPr>
              <w:t>Núm. Ref. de la Oficina de la OIM</w:t>
            </w:r>
          </w:p>
        </w:tc>
        <w:tc>
          <w:tcPr>
            <w:tcW w:w="2592" w:type="dxa"/>
            <w:tcBorders>
              <w:top w:val="single" w:sz="4" w:space="0" w:color="auto"/>
              <w:left w:val="single" w:sz="4" w:space="0" w:color="auto"/>
              <w:bottom w:val="single" w:sz="4" w:space="0" w:color="auto"/>
              <w:right w:val="single" w:sz="4" w:space="0" w:color="auto"/>
            </w:tcBorders>
          </w:tcPr>
          <w:p w14:paraId="56FD52F6" w14:textId="77777777" w:rsidR="00F0016E" w:rsidRPr="00506530" w:rsidRDefault="00F0016E" w:rsidP="00507FA5">
            <w:pPr>
              <w:spacing w:line="23" w:lineRule="atLeast"/>
              <w:jc w:val="center"/>
              <w:rPr>
                <w:rFonts w:ascii="Times New Roman" w:hAnsi="Times New Roman"/>
                <w:color w:val="auto"/>
                <w:szCs w:val="22"/>
                <w:lang w:val="es-419"/>
              </w:rPr>
            </w:pPr>
            <w:r w:rsidRPr="00506530">
              <w:rPr>
                <w:rFonts w:ascii="Times New Roman" w:hAnsi="Times New Roman"/>
                <w:color w:val="auto"/>
                <w:szCs w:val="22"/>
                <w:lang w:val="es-419"/>
              </w:rPr>
              <w:t>GT10</w:t>
            </w:r>
          </w:p>
        </w:tc>
      </w:tr>
      <w:tr w:rsidR="00F0016E" w:rsidRPr="00506530" w14:paraId="08EC4398" w14:textId="77777777" w:rsidTr="00506530">
        <w:trPr>
          <w:jc w:val="right"/>
        </w:trPr>
        <w:tc>
          <w:tcPr>
            <w:tcW w:w="3415" w:type="dxa"/>
            <w:tcBorders>
              <w:top w:val="single" w:sz="4" w:space="0" w:color="auto"/>
              <w:left w:val="single" w:sz="4" w:space="0" w:color="auto"/>
              <w:bottom w:val="single" w:sz="4" w:space="0" w:color="auto"/>
              <w:right w:val="single" w:sz="4" w:space="0" w:color="auto"/>
            </w:tcBorders>
            <w:hideMark/>
          </w:tcPr>
          <w:p w14:paraId="5F2D8F5F" w14:textId="77777777" w:rsidR="00F0016E" w:rsidRPr="00506530" w:rsidRDefault="00F0016E" w:rsidP="00507FA5">
            <w:pPr>
              <w:spacing w:line="23" w:lineRule="atLeast"/>
              <w:rPr>
                <w:rFonts w:ascii="Times New Roman" w:hAnsi="Times New Roman"/>
                <w:color w:val="auto"/>
                <w:szCs w:val="22"/>
                <w:lang w:val="en-GB"/>
              </w:rPr>
            </w:pPr>
            <w:r w:rsidRPr="00506530">
              <w:rPr>
                <w:rFonts w:ascii="Times New Roman" w:hAnsi="Times New Roman"/>
                <w:color w:val="auto"/>
                <w:szCs w:val="22"/>
                <w:lang w:val="en-GB"/>
              </w:rPr>
              <w:t>Código de Proyecto OIM</w:t>
            </w:r>
          </w:p>
        </w:tc>
        <w:tc>
          <w:tcPr>
            <w:tcW w:w="2592" w:type="dxa"/>
            <w:tcBorders>
              <w:top w:val="single" w:sz="4" w:space="0" w:color="auto"/>
              <w:left w:val="single" w:sz="4" w:space="0" w:color="auto"/>
              <w:bottom w:val="single" w:sz="4" w:space="0" w:color="auto"/>
              <w:right w:val="single" w:sz="4" w:space="0" w:color="auto"/>
            </w:tcBorders>
          </w:tcPr>
          <w:p w14:paraId="71E2127D" w14:textId="77777777" w:rsidR="00F0016E" w:rsidRPr="00506530" w:rsidRDefault="00F0016E" w:rsidP="00507FA5">
            <w:pPr>
              <w:spacing w:line="23" w:lineRule="atLeast"/>
              <w:jc w:val="center"/>
              <w:rPr>
                <w:rFonts w:ascii="Times New Roman" w:hAnsi="Times New Roman"/>
                <w:color w:val="auto"/>
                <w:szCs w:val="22"/>
                <w:lang w:val="en-GB"/>
              </w:rPr>
            </w:pPr>
            <w:r w:rsidRPr="00506530">
              <w:rPr>
                <w:rFonts w:ascii="Times New Roman" w:hAnsi="Times New Roman"/>
                <w:color w:val="auto"/>
                <w:szCs w:val="22"/>
                <w:lang w:val="en-GB"/>
              </w:rPr>
              <w:t>RR.0130</w:t>
            </w:r>
          </w:p>
        </w:tc>
      </w:tr>
      <w:tr w:rsidR="00F0016E" w:rsidRPr="00506530" w14:paraId="7C87CA57" w14:textId="77777777" w:rsidTr="00506530">
        <w:trPr>
          <w:jc w:val="right"/>
        </w:trPr>
        <w:tc>
          <w:tcPr>
            <w:tcW w:w="3415" w:type="dxa"/>
            <w:tcBorders>
              <w:top w:val="single" w:sz="4" w:space="0" w:color="auto"/>
              <w:left w:val="single" w:sz="4" w:space="0" w:color="auto"/>
              <w:bottom w:val="single" w:sz="4" w:space="0" w:color="auto"/>
              <w:right w:val="single" w:sz="4" w:space="0" w:color="auto"/>
            </w:tcBorders>
          </w:tcPr>
          <w:p w14:paraId="6AE9CD32" w14:textId="77777777" w:rsidR="00F0016E" w:rsidRPr="00506530" w:rsidRDefault="00F0016E" w:rsidP="00507FA5">
            <w:pPr>
              <w:spacing w:line="23" w:lineRule="atLeast"/>
              <w:rPr>
                <w:rFonts w:ascii="Times New Roman" w:hAnsi="Times New Roman"/>
                <w:color w:val="auto"/>
                <w:szCs w:val="22"/>
                <w:lang w:val="en-GB"/>
              </w:rPr>
            </w:pPr>
            <w:r w:rsidRPr="00506530">
              <w:rPr>
                <w:rFonts w:ascii="Times New Roman" w:hAnsi="Times New Roman"/>
                <w:color w:val="auto"/>
                <w:szCs w:val="22"/>
                <w:lang w:val="en-GB"/>
              </w:rPr>
              <w:t>Código de LEG</w:t>
            </w:r>
          </w:p>
        </w:tc>
        <w:tc>
          <w:tcPr>
            <w:tcW w:w="2592" w:type="dxa"/>
            <w:tcBorders>
              <w:top w:val="single" w:sz="4" w:space="0" w:color="auto"/>
              <w:left w:val="single" w:sz="4" w:space="0" w:color="auto"/>
              <w:bottom w:val="single" w:sz="4" w:space="0" w:color="auto"/>
              <w:right w:val="single" w:sz="4" w:space="0" w:color="auto"/>
            </w:tcBorders>
          </w:tcPr>
          <w:p w14:paraId="2671F319" w14:textId="09F31097" w:rsidR="00F0016E" w:rsidRPr="00506530" w:rsidRDefault="0050723A" w:rsidP="00507FA5">
            <w:pPr>
              <w:spacing w:line="23" w:lineRule="atLeast"/>
              <w:jc w:val="center"/>
              <w:rPr>
                <w:rFonts w:ascii="Times New Roman" w:hAnsi="Times New Roman"/>
                <w:color w:val="auto"/>
                <w:szCs w:val="22"/>
                <w:lang w:val="en-GB"/>
              </w:rPr>
            </w:pPr>
            <w:r w:rsidRPr="0050723A">
              <w:rPr>
                <w:rFonts w:ascii="Times New Roman" w:hAnsi="Times New Roman"/>
                <w:color w:val="auto"/>
                <w:szCs w:val="22"/>
                <w:lang w:val="en-GB"/>
              </w:rPr>
              <w:t>GTM/IMPL/EE131/2024</w:t>
            </w:r>
          </w:p>
        </w:tc>
      </w:tr>
    </w:tbl>
    <w:p w14:paraId="006A57A8" w14:textId="77777777" w:rsidR="00F0016E" w:rsidRPr="00506530" w:rsidRDefault="00F0016E" w:rsidP="00F0016E">
      <w:pPr>
        <w:suppressAutoHyphens/>
        <w:jc w:val="both"/>
        <w:rPr>
          <w:rFonts w:ascii="Times New Roman" w:hAnsi="Times New Roman"/>
          <w:b/>
          <w:color w:val="auto"/>
          <w:szCs w:val="22"/>
        </w:rPr>
      </w:pPr>
    </w:p>
    <w:p w14:paraId="0AB178D0" w14:textId="2BBF7D98" w:rsidR="00F0016E" w:rsidRPr="00506530" w:rsidRDefault="00506530" w:rsidP="00F0016E">
      <w:pPr>
        <w:suppressAutoHyphens/>
        <w:jc w:val="center"/>
        <w:rPr>
          <w:rFonts w:ascii="Times New Roman" w:hAnsi="Times New Roman"/>
          <w:b/>
          <w:color w:val="auto"/>
          <w:szCs w:val="22"/>
        </w:rPr>
      </w:pPr>
      <w:bookmarkStart w:id="1" w:name="OLE_LINK1"/>
      <w:r w:rsidRPr="00506530">
        <w:rPr>
          <w:rFonts w:ascii="Times New Roman" w:hAnsi="Times New Roman"/>
          <w:b/>
          <w:color w:val="auto"/>
          <w:szCs w:val="22"/>
        </w:rPr>
        <w:t xml:space="preserve">Acuerdo </w:t>
      </w:r>
      <w:r>
        <w:rPr>
          <w:rFonts w:ascii="Times New Roman" w:hAnsi="Times New Roman"/>
          <w:b/>
          <w:color w:val="auto"/>
          <w:szCs w:val="22"/>
        </w:rPr>
        <w:t>de</w:t>
      </w:r>
      <w:r w:rsidRPr="00506530">
        <w:rPr>
          <w:rFonts w:ascii="Times New Roman" w:hAnsi="Times New Roman"/>
          <w:b/>
          <w:color w:val="auto"/>
          <w:szCs w:val="22"/>
        </w:rPr>
        <w:t xml:space="preserve"> Implementación </w:t>
      </w:r>
      <w:r>
        <w:rPr>
          <w:rFonts w:ascii="Times New Roman" w:hAnsi="Times New Roman"/>
          <w:b/>
          <w:color w:val="auto"/>
          <w:szCs w:val="22"/>
        </w:rPr>
        <w:t>de</w:t>
      </w:r>
      <w:r w:rsidRPr="00506530">
        <w:rPr>
          <w:rFonts w:ascii="Times New Roman" w:hAnsi="Times New Roman"/>
          <w:b/>
          <w:color w:val="auto"/>
          <w:szCs w:val="22"/>
        </w:rPr>
        <w:t xml:space="preserve"> Proyecto</w:t>
      </w:r>
    </w:p>
    <w:p w14:paraId="5574808E" w14:textId="77777777" w:rsidR="00F0016E" w:rsidRPr="00506530" w:rsidRDefault="00F0016E" w:rsidP="00F0016E">
      <w:pPr>
        <w:suppressAutoHyphens/>
        <w:jc w:val="center"/>
        <w:rPr>
          <w:rFonts w:ascii="Times New Roman" w:hAnsi="Times New Roman"/>
          <w:b/>
          <w:color w:val="auto"/>
          <w:szCs w:val="22"/>
        </w:rPr>
      </w:pPr>
      <w:r w:rsidRPr="00506530">
        <w:rPr>
          <w:rFonts w:ascii="Times New Roman" w:hAnsi="Times New Roman"/>
          <w:b/>
          <w:color w:val="auto"/>
          <w:szCs w:val="22"/>
        </w:rPr>
        <w:t>entre la</w:t>
      </w:r>
    </w:p>
    <w:p w14:paraId="7174A761" w14:textId="77777777" w:rsidR="00F0016E" w:rsidRPr="00506530" w:rsidRDefault="00F0016E" w:rsidP="00F0016E">
      <w:pPr>
        <w:suppressAutoHyphens/>
        <w:jc w:val="center"/>
        <w:rPr>
          <w:rFonts w:ascii="Times New Roman" w:hAnsi="Times New Roman"/>
          <w:b/>
          <w:color w:val="auto"/>
          <w:szCs w:val="22"/>
        </w:rPr>
      </w:pPr>
      <w:r w:rsidRPr="00506530">
        <w:rPr>
          <w:rFonts w:ascii="Times New Roman" w:hAnsi="Times New Roman"/>
          <w:b/>
          <w:color w:val="auto"/>
          <w:szCs w:val="22"/>
        </w:rPr>
        <w:t>Organización Internacional para las Migraciones (OIM)</w:t>
      </w:r>
    </w:p>
    <w:p w14:paraId="23462A07" w14:textId="77777777" w:rsidR="00F0016E" w:rsidRPr="00506530" w:rsidRDefault="00F0016E" w:rsidP="00F0016E">
      <w:pPr>
        <w:suppressAutoHyphens/>
        <w:jc w:val="center"/>
        <w:rPr>
          <w:rFonts w:ascii="Times New Roman" w:hAnsi="Times New Roman"/>
          <w:b/>
          <w:color w:val="auto"/>
          <w:szCs w:val="22"/>
        </w:rPr>
      </w:pPr>
      <w:r w:rsidRPr="00506530">
        <w:rPr>
          <w:rFonts w:ascii="Times New Roman" w:hAnsi="Times New Roman"/>
          <w:b/>
          <w:color w:val="auto"/>
          <w:szCs w:val="22"/>
        </w:rPr>
        <w:t>y</w:t>
      </w:r>
    </w:p>
    <w:p w14:paraId="55C716B3" w14:textId="77777777" w:rsidR="00F0016E" w:rsidRPr="00506530" w:rsidRDefault="00F0016E" w:rsidP="00F0016E">
      <w:pPr>
        <w:suppressAutoHyphens/>
        <w:jc w:val="center"/>
        <w:rPr>
          <w:rFonts w:ascii="Times New Roman" w:hAnsi="Times New Roman"/>
          <w:b/>
          <w:color w:val="auto"/>
          <w:szCs w:val="22"/>
        </w:rPr>
      </w:pPr>
      <w:r w:rsidRPr="00506530">
        <w:rPr>
          <w:rFonts w:ascii="Times New Roman" w:hAnsi="Times New Roman"/>
          <w:b/>
          <w:color w:val="auto"/>
          <w:szCs w:val="22"/>
        </w:rPr>
        <w:t>El Instituto Guatemalteco de Migración (IGM)</w:t>
      </w:r>
    </w:p>
    <w:p w14:paraId="51BEA7CB" w14:textId="77777777" w:rsidR="00F0016E" w:rsidRPr="00215636" w:rsidRDefault="00F0016E" w:rsidP="00F0016E">
      <w:pPr>
        <w:suppressAutoHyphens/>
        <w:jc w:val="center"/>
        <w:rPr>
          <w:rFonts w:ascii="Times New Roman" w:hAnsi="Times New Roman"/>
          <w:b/>
          <w:color w:val="auto"/>
          <w:szCs w:val="22"/>
        </w:rPr>
      </w:pPr>
      <w:r w:rsidRPr="00215636">
        <w:rPr>
          <w:rFonts w:ascii="Times New Roman" w:hAnsi="Times New Roman"/>
          <w:b/>
          <w:color w:val="auto"/>
          <w:szCs w:val="22"/>
        </w:rPr>
        <w:t>relativo al</w:t>
      </w:r>
    </w:p>
    <w:bookmarkEnd w:id="1"/>
    <w:p w14:paraId="1A37FDA0" w14:textId="77777777" w:rsidR="00F0016E" w:rsidRPr="00506530" w:rsidRDefault="00F0016E" w:rsidP="00F0016E">
      <w:pPr>
        <w:suppressAutoHyphens/>
        <w:jc w:val="center"/>
        <w:rPr>
          <w:rFonts w:ascii="Times New Roman" w:hAnsi="Times New Roman"/>
          <w:b/>
          <w:color w:val="auto"/>
          <w:szCs w:val="22"/>
        </w:rPr>
      </w:pPr>
      <w:r w:rsidRPr="00215636">
        <w:rPr>
          <w:rFonts w:ascii="Times New Roman" w:hAnsi="Times New Roman"/>
          <w:b/>
          <w:color w:val="auto"/>
          <w:szCs w:val="22"/>
        </w:rPr>
        <w:t>Centro de Recepción de Retornados de Ayutla</w:t>
      </w:r>
      <w:r w:rsidRPr="00506530">
        <w:rPr>
          <w:rFonts w:ascii="Times New Roman" w:hAnsi="Times New Roman"/>
          <w:b/>
          <w:color w:val="auto"/>
          <w:szCs w:val="22"/>
        </w:rPr>
        <w:t>, San Marcos</w:t>
      </w:r>
    </w:p>
    <w:p w14:paraId="7109A5A9" w14:textId="77777777" w:rsidR="00F0016E" w:rsidRPr="00506530" w:rsidRDefault="00F0016E" w:rsidP="00F0016E">
      <w:pPr>
        <w:jc w:val="both"/>
        <w:rPr>
          <w:rFonts w:ascii="Times New Roman" w:hAnsi="Times New Roman"/>
          <w:snapToGrid w:val="0"/>
          <w:color w:val="auto"/>
          <w:szCs w:val="22"/>
        </w:rPr>
      </w:pPr>
    </w:p>
    <w:p w14:paraId="1A2529A0" w14:textId="5208B336" w:rsidR="00F0016E" w:rsidRPr="00506530" w:rsidRDefault="00F0016E" w:rsidP="00F0016E">
      <w:pPr>
        <w:jc w:val="both"/>
        <w:rPr>
          <w:rFonts w:ascii="Times New Roman" w:hAnsi="Times New Roman"/>
          <w:color w:val="auto"/>
          <w:szCs w:val="22"/>
        </w:rPr>
      </w:pPr>
      <w:r w:rsidRPr="00506530">
        <w:rPr>
          <w:rFonts w:ascii="Times New Roman" w:hAnsi="Times New Roman"/>
          <w:color w:val="auto"/>
          <w:szCs w:val="22"/>
        </w:rPr>
        <w:t xml:space="preserve">El presente Acuerdo de implementación de proyecto se establece entre la </w:t>
      </w:r>
      <w:r w:rsidRPr="00506530">
        <w:rPr>
          <w:rFonts w:ascii="Times New Roman" w:hAnsi="Times New Roman"/>
          <w:b/>
          <w:color w:val="auto"/>
          <w:szCs w:val="22"/>
        </w:rPr>
        <w:t>Organización Internacional para las Migraciones (OIM)</w:t>
      </w:r>
      <w:r w:rsidRPr="00506530">
        <w:rPr>
          <w:rFonts w:ascii="Times New Roman" w:hAnsi="Times New Roman"/>
          <w:color w:val="auto"/>
          <w:szCs w:val="22"/>
        </w:rPr>
        <w:t xml:space="preserve">, </w:t>
      </w:r>
      <w:r w:rsidRPr="00506530">
        <w:rPr>
          <w:rFonts w:ascii="Times New Roman" w:hAnsi="Times New Roman"/>
          <w:color w:val="auto"/>
          <w:szCs w:val="22"/>
          <w:lang w:val="es-ES_tradnl"/>
        </w:rPr>
        <w:t xml:space="preserve">una organización que forma parte del sistema de las Naciones Unidas, </w:t>
      </w:r>
      <w:r w:rsidRPr="00506530">
        <w:rPr>
          <w:rFonts w:ascii="Times New Roman" w:hAnsi="Times New Roman"/>
          <w:color w:val="auto"/>
          <w:szCs w:val="22"/>
        </w:rPr>
        <w:t xml:space="preserve">Oficina en Guatemala, Avenida La Reforma 9-55, Edificio Reforma 10, Zona 10, Guatemala, </w:t>
      </w:r>
      <w:r w:rsidR="00973E60" w:rsidRPr="00506530">
        <w:rPr>
          <w:rFonts w:ascii="Times New Roman" w:hAnsi="Times New Roman"/>
          <w:color w:val="auto"/>
          <w:szCs w:val="22"/>
        </w:rPr>
        <w:t>Guatemala, representada</w:t>
      </w:r>
      <w:r w:rsidRPr="00506530">
        <w:rPr>
          <w:rFonts w:ascii="Times New Roman" w:hAnsi="Times New Roman"/>
          <w:color w:val="auto"/>
          <w:szCs w:val="22"/>
        </w:rPr>
        <w:t xml:space="preserve"> por St</w:t>
      </w:r>
      <w:r w:rsidR="009E7FD3">
        <w:rPr>
          <w:rFonts w:ascii="Times New Roman" w:hAnsi="Times New Roman"/>
          <w:color w:val="auto"/>
          <w:szCs w:val="22"/>
        </w:rPr>
        <w:t>e</w:t>
      </w:r>
      <w:r w:rsidR="00973E60">
        <w:rPr>
          <w:rFonts w:ascii="Times New Roman" w:hAnsi="Times New Roman"/>
          <w:color w:val="auto"/>
          <w:szCs w:val="22"/>
        </w:rPr>
        <w:t>ph</w:t>
      </w:r>
      <w:r w:rsidRPr="00506530">
        <w:rPr>
          <w:rFonts w:ascii="Times New Roman" w:hAnsi="Times New Roman"/>
          <w:color w:val="auto"/>
          <w:szCs w:val="22"/>
        </w:rPr>
        <w:t xml:space="preserve">anie </w:t>
      </w:r>
      <w:proofErr w:type="spellStart"/>
      <w:r w:rsidRPr="00506530">
        <w:rPr>
          <w:rFonts w:ascii="Times New Roman" w:hAnsi="Times New Roman"/>
          <w:color w:val="auto"/>
          <w:szCs w:val="22"/>
        </w:rPr>
        <w:t>Daviot</w:t>
      </w:r>
      <w:proofErr w:type="spellEnd"/>
      <w:r w:rsidRPr="00506530">
        <w:rPr>
          <w:rFonts w:ascii="Times New Roman" w:hAnsi="Times New Roman"/>
          <w:color w:val="auto"/>
          <w:szCs w:val="22"/>
        </w:rPr>
        <w:t>, en adelante “</w:t>
      </w:r>
      <w:r w:rsidRPr="00506530">
        <w:rPr>
          <w:rFonts w:ascii="Times New Roman" w:hAnsi="Times New Roman"/>
          <w:b/>
          <w:color w:val="auto"/>
          <w:szCs w:val="22"/>
        </w:rPr>
        <w:t>OIM</w:t>
      </w:r>
      <w:r w:rsidRPr="00506530">
        <w:rPr>
          <w:rFonts w:ascii="Times New Roman" w:hAnsi="Times New Roman"/>
          <w:color w:val="auto"/>
          <w:szCs w:val="22"/>
        </w:rPr>
        <w:t xml:space="preserve">,” y el Instituto Guatemalteco de Migración, 6av. 3-11 zona 4, Guatemala, Guatemala, representada por </w:t>
      </w:r>
      <w:r w:rsidR="000B707D">
        <w:rPr>
          <w:rFonts w:ascii="Times New Roman" w:hAnsi="Times New Roman"/>
          <w:color w:val="auto"/>
          <w:szCs w:val="22"/>
        </w:rPr>
        <w:t xml:space="preserve">Alfredo </w:t>
      </w:r>
      <w:r w:rsidR="00942233">
        <w:rPr>
          <w:rFonts w:ascii="Times New Roman" w:hAnsi="Times New Roman"/>
          <w:color w:val="auto"/>
          <w:szCs w:val="22"/>
        </w:rPr>
        <w:t xml:space="preserve">Danilo </w:t>
      </w:r>
      <w:r w:rsidR="000B707D">
        <w:rPr>
          <w:rFonts w:ascii="Times New Roman" w:hAnsi="Times New Roman"/>
          <w:color w:val="auto"/>
          <w:szCs w:val="22"/>
        </w:rPr>
        <w:t>Rivera</w:t>
      </w:r>
      <w:r w:rsidRPr="00506530">
        <w:rPr>
          <w:rFonts w:ascii="Times New Roman" w:hAnsi="Times New Roman"/>
          <w:color w:val="auto"/>
          <w:szCs w:val="22"/>
        </w:rPr>
        <w:t>, en adelante “</w:t>
      </w:r>
      <w:r w:rsidRPr="00506530">
        <w:rPr>
          <w:rFonts w:ascii="Times New Roman" w:hAnsi="Times New Roman"/>
          <w:b/>
          <w:color w:val="auto"/>
          <w:szCs w:val="22"/>
        </w:rPr>
        <w:t>IGM</w:t>
      </w:r>
      <w:r w:rsidRPr="00506530">
        <w:rPr>
          <w:rFonts w:ascii="Times New Roman" w:hAnsi="Times New Roman"/>
          <w:color w:val="auto"/>
          <w:szCs w:val="22"/>
        </w:rPr>
        <w:t xml:space="preserve">.” </w:t>
      </w:r>
    </w:p>
    <w:p w14:paraId="1EBAA1E3" w14:textId="77777777" w:rsidR="00F0016E" w:rsidRPr="00506530" w:rsidRDefault="00F0016E" w:rsidP="00F0016E">
      <w:pPr>
        <w:jc w:val="both"/>
        <w:rPr>
          <w:rFonts w:ascii="Times New Roman" w:hAnsi="Times New Roman"/>
          <w:color w:val="auto"/>
          <w:szCs w:val="22"/>
        </w:rPr>
      </w:pPr>
    </w:p>
    <w:p w14:paraId="78E1553B" w14:textId="77777777" w:rsidR="00F0016E" w:rsidRPr="00506530" w:rsidRDefault="00F0016E" w:rsidP="00F0016E">
      <w:pPr>
        <w:jc w:val="both"/>
        <w:rPr>
          <w:rFonts w:ascii="Times New Roman" w:hAnsi="Times New Roman"/>
          <w:snapToGrid w:val="0"/>
          <w:color w:val="auto"/>
          <w:szCs w:val="22"/>
        </w:rPr>
      </w:pPr>
      <w:r w:rsidRPr="00506530">
        <w:rPr>
          <w:rFonts w:ascii="Times New Roman" w:hAnsi="Times New Roman"/>
          <w:color w:val="auto"/>
          <w:szCs w:val="22"/>
        </w:rPr>
        <w:t>La OIM y el IGM también se denominarán individualmente como una “</w:t>
      </w:r>
      <w:r w:rsidRPr="00506530">
        <w:rPr>
          <w:rFonts w:ascii="Times New Roman" w:hAnsi="Times New Roman"/>
          <w:b/>
          <w:color w:val="auto"/>
          <w:szCs w:val="22"/>
        </w:rPr>
        <w:t>Parte</w:t>
      </w:r>
      <w:r w:rsidRPr="00506530">
        <w:rPr>
          <w:rFonts w:ascii="Times New Roman" w:hAnsi="Times New Roman"/>
          <w:color w:val="auto"/>
          <w:szCs w:val="22"/>
        </w:rPr>
        <w:t>” y conjuntamente como las “</w:t>
      </w:r>
      <w:r w:rsidRPr="00506530">
        <w:rPr>
          <w:rFonts w:ascii="Times New Roman" w:hAnsi="Times New Roman"/>
          <w:b/>
          <w:color w:val="auto"/>
          <w:szCs w:val="22"/>
        </w:rPr>
        <w:t>Partes</w:t>
      </w:r>
      <w:r w:rsidRPr="00506530">
        <w:rPr>
          <w:rFonts w:ascii="Times New Roman" w:hAnsi="Times New Roman"/>
          <w:color w:val="auto"/>
          <w:szCs w:val="22"/>
        </w:rPr>
        <w:t>.”</w:t>
      </w:r>
    </w:p>
    <w:p w14:paraId="778FBB7B" w14:textId="77777777" w:rsidR="00F0016E" w:rsidRPr="00506530" w:rsidRDefault="00F0016E" w:rsidP="00F0016E">
      <w:pPr>
        <w:jc w:val="both"/>
        <w:rPr>
          <w:rFonts w:ascii="Times New Roman" w:hAnsi="Times New Roman"/>
          <w:snapToGrid w:val="0"/>
          <w:color w:val="auto"/>
          <w:szCs w:val="22"/>
        </w:rPr>
      </w:pPr>
    </w:p>
    <w:p w14:paraId="6018520C" w14:textId="77777777" w:rsidR="00F0016E" w:rsidRPr="00506530" w:rsidRDefault="00F0016E" w:rsidP="00F0016E">
      <w:pPr>
        <w:numPr>
          <w:ilvl w:val="0"/>
          <w:numId w:val="1"/>
        </w:numPr>
        <w:jc w:val="both"/>
        <w:rPr>
          <w:rFonts w:ascii="Times New Roman" w:hAnsi="Times New Roman"/>
          <w:snapToGrid w:val="0"/>
          <w:color w:val="auto"/>
          <w:szCs w:val="22"/>
        </w:rPr>
      </w:pPr>
      <w:r w:rsidRPr="00506530">
        <w:rPr>
          <w:rFonts w:ascii="Times New Roman" w:hAnsi="Times New Roman"/>
          <w:b/>
          <w:color w:val="auto"/>
          <w:szCs w:val="22"/>
        </w:rPr>
        <w:t>Introducción</w:t>
      </w:r>
      <w:r w:rsidRPr="00506530">
        <w:rPr>
          <w:rFonts w:ascii="Times New Roman" w:hAnsi="Times New Roman"/>
          <w:color w:val="auto"/>
          <w:szCs w:val="22"/>
        </w:rPr>
        <w:t xml:space="preserve"> </w:t>
      </w:r>
    </w:p>
    <w:p w14:paraId="201073A6" w14:textId="77777777" w:rsidR="00F0016E" w:rsidRPr="00506530" w:rsidRDefault="00F0016E" w:rsidP="00F0016E">
      <w:pPr>
        <w:ind w:left="720"/>
        <w:jc w:val="both"/>
        <w:rPr>
          <w:rFonts w:ascii="Times New Roman" w:hAnsi="Times New Roman"/>
          <w:snapToGrid w:val="0"/>
          <w:color w:val="auto"/>
          <w:szCs w:val="22"/>
        </w:rPr>
      </w:pPr>
    </w:p>
    <w:p w14:paraId="32316040" w14:textId="77777777" w:rsidR="00F0016E" w:rsidRPr="00506530" w:rsidRDefault="00F0016E" w:rsidP="00F0016E">
      <w:pPr>
        <w:jc w:val="both"/>
        <w:rPr>
          <w:rFonts w:ascii="Times New Roman" w:hAnsi="Times New Roman"/>
          <w:snapToGrid w:val="0"/>
          <w:color w:val="auto"/>
          <w:szCs w:val="22"/>
        </w:rPr>
      </w:pPr>
      <w:r w:rsidRPr="00506530">
        <w:rPr>
          <w:rFonts w:ascii="Times New Roman" w:hAnsi="Times New Roman"/>
          <w:snapToGrid w:val="0"/>
          <w:color w:val="auto"/>
          <w:szCs w:val="22"/>
        </w:rPr>
        <w:t xml:space="preserve">La OIM en Guatemala, bajo su estrategia de país, busca el remozamiento, rehabilitación y equipamiento de espacios seguros para la protección de migrantes. </w:t>
      </w:r>
    </w:p>
    <w:p w14:paraId="2B4652E4" w14:textId="77777777" w:rsidR="00F0016E" w:rsidRPr="00506530" w:rsidRDefault="00F0016E" w:rsidP="00F0016E">
      <w:pPr>
        <w:jc w:val="both"/>
        <w:rPr>
          <w:rFonts w:ascii="Times New Roman" w:hAnsi="Times New Roman"/>
          <w:snapToGrid w:val="0"/>
          <w:color w:val="auto"/>
          <w:szCs w:val="22"/>
        </w:rPr>
      </w:pPr>
    </w:p>
    <w:p w14:paraId="43E6ADEC" w14:textId="77777777" w:rsidR="00F0016E" w:rsidRPr="00506530" w:rsidRDefault="00F0016E" w:rsidP="00F0016E">
      <w:pPr>
        <w:jc w:val="both"/>
        <w:rPr>
          <w:rFonts w:ascii="Times New Roman" w:hAnsi="Times New Roman"/>
          <w:snapToGrid w:val="0"/>
          <w:color w:val="auto"/>
          <w:szCs w:val="22"/>
        </w:rPr>
      </w:pPr>
      <w:r w:rsidRPr="00506530">
        <w:rPr>
          <w:rFonts w:ascii="Times New Roman" w:hAnsi="Times New Roman"/>
          <w:snapToGrid w:val="0"/>
          <w:color w:val="auto"/>
          <w:szCs w:val="22"/>
        </w:rPr>
        <w:t xml:space="preserve">Con el apoyo de la Agencia de los Estados Unidos para el Desarrollo Internacional (USAID, por sus siglas en inglés) la OIM implementa el programa Respuestas Integrales sobre Migración en Centroamérica (IRM por sus siglas en inglés), por medio del cual trabaja con sus aliados a nivel gubernamental con el objetivo de mejorar los centros de recepción de poblaciones retornadas, para responder de manera efectiva a las diferentes dinámicas migratorias y de retorno. </w:t>
      </w:r>
    </w:p>
    <w:p w14:paraId="03AB2050" w14:textId="77777777" w:rsidR="00F0016E" w:rsidRPr="00506530" w:rsidRDefault="00F0016E" w:rsidP="00F0016E">
      <w:pPr>
        <w:jc w:val="both"/>
        <w:rPr>
          <w:rFonts w:ascii="Times New Roman" w:hAnsi="Times New Roman"/>
          <w:snapToGrid w:val="0"/>
          <w:color w:val="auto"/>
          <w:szCs w:val="22"/>
        </w:rPr>
      </w:pPr>
    </w:p>
    <w:p w14:paraId="57034DEA" w14:textId="3549C041" w:rsidR="00F0016E" w:rsidRPr="00506530" w:rsidRDefault="00F0016E" w:rsidP="00F0016E">
      <w:pPr>
        <w:jc w:val="both"/>
        <w:rPr>
          <w:rFonts w:ascii="Times New Roman" w:hAnsi="Times New Roman"/>
          <w:snapToGrid w:val="0"/>
          <w:color w:val="auto"/>
          <w:szCs w:val="22"/>
        </w:rPr>
      </w:pPr>
      <w:r w:rsidRPr="00506530">
        <w:rPr>
          <w:rFonts w:ascii="Times New Roman" w:hAnsi="Times New Roman"/>
          <w:snapToGrid w:val="0"/>
          <w:color w:val="auto"/>
          <w:szCs w:val="22"/>
        </w:rPr>
        <w:t xml:space="preserve">Con estos fines, OIM busca consolidar su alianza con el IGM para la construcción de un nuevo </w:t>
      </w:r>
      <w:r w:rsidR="006361A6">
        <w:rPr>
          <w:rFonts w:ascii="Times New Roman" w:hAnsi="Times New Roman"/>
          <w:snapToGrid w:val="0"/>
          <w:color w:val="auto"/>
          <w:szCs w:val="22"/>
        </w:rPr>
        <w:t>C</w:t>
      </w:r>
      <w:r w:rsidRPr="00506530">
        <w:rPr>
          <w:rFonts w:ascii="Times New Roman" w:hAnsi="Times New Roman"/>
          <w:snapToGrid w:val="0"/>
          <w:color w:val="auto"/>
          <w:szCs w:val="22"/>
        </w:rPr>
        <w:t xml:space="preserve">entro de </w:t>
      </w:r>
      <w:r w:rsidR="006361A6">
        <w:rPr>
          <w:rFonts w:ascii="Times New Roman" w:hAnsi="Times New Roman"/>
          <w:snapToGrid w:val="0"/>
          <w:color w:val="auto"/>
          <w:szCs w:val="22"/>
        </w:rPr>
        <w:t>R</w:t>
      </w:r>
      <w:r w:rsidRPr="00506530">
        <w:rPr>
          <w:rFonts w:ascii="Times New Roman" w:hAnsi="Times New Roman"/>
          <w:snapToGrid w:val="0"/>
          <w:color w:val="auto"/>
          <w:szCs w:val="22"/>
        </w:rPr>
        <w:t xml:space="preserve">ecepción para </w:t>
      </w:r>
      <w:r w:rsidR="006361A6">
        <w:rPr>
          <w:rFonts w:ascii="Times New Roman" w:hAnsi="Times New Roman"/>
          <w:snapToGrid w:val="0"/>
          <w:color w:val="auto"/>
          <w:szCs w:val="22"/>
        </w:rPr>
        <w:t>P</w:t>
      </w:r>
      <w:r w:rsidRPr="00506530">
        <w:rPr>
          <w:rFonts w:ascii="Times New Roman" w:hAnsi="Times New Roman"/>
          <w:snapToGrid w:val="0"/>
          <w:color w:val="auto"/>
          <w:szCs w:val="22"/>
        </w:rPr>
        <w:t xml:space="preserve">ersonas </w:t>
      </w:r>
      <w:r w:rsidR="006361A6">
        <w:rPr>
          <w:rFonts w:ascii="Times New Roman" w:hAnsi="Times New Roman"/>
          <w:snapToGrid w:val="0"/>
          <w:color w:val="auto"/>
          <w:szCs w:val="22"/>
        </w:rPr>
        <w:t>R</w:t>
      </w:r>
      <w:r w:rsidRPr="00506530">
        <w:rPr>
          <w:rFonts w:ascii="Times New Roman" w:hAnsi="Times New Roman"/>
          <w:snapToGrid w:val="0"/>
          <w:color w:val="auto"/>
          <w:szCs w:val="22"/>
        </w:rPr>
        <w:t xml:space="preserve">etornadas </w:t>
      </w:r>
      <w:r w:rsidR="006361A6">
        <w:rPr>
          <w:rFonts w:ascii="Times New Roman" w:hAnsi="Times New Roman"/>
          <w:snapToGrid w:val="0"/>
          <w:color w:val="auto"/>
          <w:szCs w:val="22"/>
        </w:rPr>
        <w:t xml:space="preserve">(CRPR) </w:t>
      </w:r>
      <w:r w:rsidRPr="00506530">
        <w:rPr>
          <w:rFonts w:ascii="Times New Roman" w:hAnsi="Times New Roman"/>
          <w:snapToGrid w:val="0"/>
          <w:color w:val="auto"/>
          <w:szCs w:val="22"/>
        </w:rPr>
        <w:t xml:space="preserve">vía terrestre en Ayutla, San Marcos y adaptarse de mejor manera a los retos que enfrentan las personas retornadas desde México, contribuyendo: </w:t>
      </w:r>
    </w:p>
    <w:p w14:paraId="34D0F455" w14:textId="77777777" w:rsidR="00F0016E" w:rsidRPr="00506530" w:rsidRDefault="00F0016E" w:rsidP="00F0016E">
      <w:pPr>
        <w:jc w:val="both"/>
        <w:rPr>
          <w:rFonts w:ascii="Times New Roman" w:hAnsi="Times New Roman"/>
          <w:snapToGrid w:val="0"/>
          <w:color w:val="auto"/>
          <w:szCs w:val="22"/>
        </w:rPr>
      </w:pPr>
    </w:p>
    <w:p w14:paraId="4F3A310D" w14:textId="77777777" w:rsidR="00F0016E" w:rsidRPr="00506530" w:rsidRDefault="00F0016E" w:rsidP="00F0016E">
      <w:pPr>
        <w:numPr>
          <w:ilvl w:val="0"/>
          <w:numId w:val="3"/>
        </w:numPr>
        <w:ind w:left="360"/>
        <w:jc w:val="both"/>
        <w:rPr>
          <w:rFonts w:ascii="Times New Roman" w:hAnsi="Times New Roman"/>
          <w:snapToGrid w:val="0"/>
          <w:color w:val="auto"/>
          <w:szCs w:val="22"/>
        </w:rPr>
      </w:pPr>
      <w:r w:rsidRPr="00506530">
        <w:rPr>
          <w:rFonts w:ascii="Times New Roman" w:hAnsi="Times New Roman"/>
          <w:snapToGrid w:val="0"/>
          <w:color w:val="auto"/>
          <w:szCs w:val="22"/>
        </w:rPr>
        <w:t xml:space="preserve">A nivel individual, a responder a las necesidades y vulnerabilidades de las personas migrantes retornadas y sus familias al momento de su ingreso al país. </w:t>
      </w:r>
    </w:p>
    <w:p w14:paraId="0678A734" w14:textId="77777777" w:rsidR="00F0016E" w:rsidRPr="00506530" w:rsidRDefault="00F0016E" w:rsidP="00F0016E">
      <w:pPr>
        <w:numPr>
          <w:ilvl w:val="0"/>
          <w:numId w:val="3"/>
        </w:numPr>
        <w:ind w:left="360"/>
        <w:jc w:val="both"/>
        <w:rPr>
          <w:rFonts w:ascii="Times New Roman" w:hAnsi="Times New Roman"/>
          <w:snapToGrid w:val="0"/>
          <w:color w:val="auto"/>
          <w:szCs w:val="22"/>
        </w:rPr>
      </w:pPr>
      <w:r w:rsidRPr="00506530">
        <w:rPr>
          <w:rFonts w:ascii="Times New Roman" w:hAnsi="Times New Roman"/>
          <w:snapToGrid w:val="0"/>
          <w:color w:val="auto"/>
          <w:szCs w:val="22"/>
        </w:rPr>
        <w:t xml:space="preserve">A nivel comunitario, a las vulnerabilidades e inquietudes de las comunidades. </w:t>
      </w:r>
    </w:p>
    <w:p w14:paraId="5DB32372" w14:textId="77777777" w:rsidR="00F0016E" w:rsidRPr="00506530" w:rsidRDefault="00F0016E" w:rsidP="00F0016E">
      <w:pPr>
        <w:numPr>
          <w:ilvl w:val="0"/>
          <w:numId w:val="3"/>
        </w:numPr>
        <w:ind w:left="360"/>
        <w:jc w:val="both"/>
        <w:rPr>
          <w:rFonts w:ascii="Times New Roman" w:hAnsi="Times New Roman"/>
          <w:snapToGrid w:val="0"/>
          <w:color w:val="auto"/>
          <w:szCs w:val="22"/>
        </w:rPr>
      </w:pPr>
      <w:r w:rsidRPr="00506530">
        <w:rPr>
          <w:rFonts w:ascii="Times New Roman" w:hAnsi="Times New Roman"/>
          <w:snapToGrid w:val="0"/>
          <w:color w:val="auto"/>
          <w:szCs w:val="22"/>
        </w:rPr>
        <w:t xml:space="preserve">A nivel estructural, a la buena gobernanza y participación de las autoridades nacionales y locales, así como contrapartes para garantizar el acceso de las personas migrantes a los servicios que faciliten su retorno digno y reintegración a sus comunidades de origen. </w:t>
      </w:r>
    </w:p>
    <w:p w14:paraId="3C63B70A" w14:textId="77777777" w:rsidR="00F0016E" w:rsidRPr="00506530" w:rsidRDefault="00F0016E" w:rsidP="00F0016E">
      <w:pPr>
        <w:jc w:val="both"/>
        <w:rPr>
          <w:rFonts w:ascii="Times New Roman" w:hAnsi="Times New Roman"/>
          <w:snapToGrid w:val="0"/>
          <w:color w:val="auto"/>
          <w:szCs w:val="22"/>
        </w:rPr>
      </w:pPr>
    </w:p>
    <w:p w14:paraId="5871C051" w14:textId="77777777" w:rsidR="00F0016E" w:rsidRPr="00506530" w:rsidRDefault="00F0016E" w:rsidP="00F0016E">
      <w:pPr>
        <w:numPr>
          <w:ilvl w:val="0"/>
          <w:numId w:val="1"/>
        </w:numPr>
        <w:jc w:val="both"/>
        <w:rPr>
          <w:rFonts w:ascii="Times New Roman" w:hAnsi="Times New Roman"/>
          <w:snapToGrid w:val="0"/>
          <w:color w:val="auto"/>
          <w:szCs w:val="22"/>
        </w:rPr>
      </w:pPr>
      <w:r w:rsidRPr="00506530">
        <w:rPr>
          <w:rFonts w:ascii="Times New Roman" w:hAnsi="Times New Roman"/>
          <w:b/>
          <w:color w:val="auto"/>
          <w:szCs w:val="22"/>
        </w:rPr>
        <w:t>Documentos constitutivos del Acuerdo</w:t>
      </w:r>
    </w:p>
    <w:p w14:paraId="1EEBBA6B" w14:textId="77777777" w:rsidR="00F0016E" w:rsidRPr="00506530" w:rsidRDefault="00F0016E" w:rsidP="00F0016E">
      <w:pPr>
        <w:ind w:left="360"/>
        <w:jc w:val="both"/>
        <w:rPr>
          <w:rFonts w:ascii="Times New Roman" w:hAnsi="Times New Roman"/>
          <w:b/>
          <w:snapToGrid w:val="0"/>
          <w:color w:val="auto"/>
          <w:szCs w:val="22"/>
        </w:rPr>
      </w:pPr>
    </w:p>
    <w:p w14:paraId="545B704A" w14:textId="77777777" w:rsidR="00F0016E" w:rsidRPr="00506530" w:rsidRDefault="00F0016E" w:rsidP="00F0016E">
      <w:pPr>
        <w:jc w:val="both"/>
        <w:rPr>
          <w:rFonts w:ascii="Times New Roman" w:hAnsi="Times New Roman"/>
          <w:snapToGrid w:val="0"/>
          <w:color w:val="auto"/>
          <w:szCs w:val="22"/>
        </w:rPr>
      </w:pPr>
      <w:r w:rsidRPr="00506530">
        <w:rPr>
          <w:rFonts w:ascii="Times New Roman" w:hAnsi="Times New Roman"/>
          <w:color w:val="auto"/>
          <w:szCs w:val="22"/>
        </w:rPr>
        <w:t xml:space="preserve">Los documentos que se enumeran a continuación forman parte del presente Acuerdo:  </w:t>
      </w:r>
    </w:p>
    <w:p w14:paraId="52EFA36B" w14:textId="77777777" w:rsidR="00F0016E" w:rsidRPr="00506530" w:rsidRDefault="00F0016E" w:rsidP="00F0016E">
      <w:pPr>
        <w:ind w:left="360"/>
        <w:jc w:val="both"/>
        <w:rPr>
          <w:rFonts w:ascii="Times New Roman" w:hAnsi="Times New Roman"/>
          <w:snapToGrid w:val="0"/>
          <w:color w:val="auto"/>
          <w:szCs w:val="22"/>
        </w:rPr>
      </w:pPr>
    </w:p>
    <w:p w14:paraId="4E5D2639" w14:textId="2262D959" w:rsidR="00F0016E" w:rsidRPr="00506530" w:rsidRDefault="00F0016E" w:rsidP="00F0016E">
      <w:pPr>
        <w:numPr>
          <w:ilvl w:val="0"/>
          <w:numId w:val="2"/>
        </w:numPr>
        <w:ind w:left="360"/>
        <w:jc w:val="both"/>
        <w:rPr>
          <w:rFonts w:ascii="Times New Roman" w:hAnsi="Times New Roman"/>
          <w:snapToGrid w:val="0"/>
          <w:color w:val="auto"/>
          <w:szCs w:val="22"/>
        </w:rPr>
      </w:pPr>
      <w:r w:rsidRPr="00506530">
        <w:rPr>
          <w:rFonts w:ascii="Times New Roman" w:hAnsi="Times New Roman"/>
          <w:b/>
          <w:color w:val="auto"/>
          <w:szCs w:val="22"/>
        </w:rPr>
        <w:t>Anexo A</w:t>
      </w:r>
      <w:r w:rsidRPr="00506530">
        <w:rPr>
          <w:rFonts w:ascii="Times New Roman" w:hAnsi="Times New Roman"/>
          <w:color w:val="auto"/>
          <w:szCs w:val="22"/>
        </w:rPr>
        <w:t xml:space="preserve">: </w:t>
      </w:r>
      <w:r w:rsidR="00BC050F" w:rsidRPr="00BC050F">
        <w:rPr>
          <w:rFonts w:ascii="Times New Roman" w:hAnsi="Times New Roman"/>
          <w:color w:val="auto"/>
          <w:szCs w:val="22"/>
        </w:rPr>
        <w:t>Especificaciones técnicas del CRPR a considerar por la OIM</w:t>
      </w:r>
    </w:p>
    <w:p w14:paraId="66903731" w14:textId="50894485" w:rsidR="00F0016E" w:rsidRPr="00506530" w:rsidRDefault="00F0016E" w:rsidP="00F0016E">
      <w:pPr>
        <w:numPr>
          <w:ilvl w:val="0"/>
          <w:numId w:val="2"/>
        </w:numPr>
        <w:ind w:left="360"/>
        <w:jc w:val="both"/>
        <w:rPr>
          <w:rFonts w:ascii="Times New Roman" w:hAnsi="Times New Roman"/>
          <w:snapToGrid w:val="0"/>
          <w:color w:val="auto"/>
          <w:szCs w:val="22"/>
        </w:rPr>
      </w:pPr>
      <w:r w:rsidRPr="00506530">
        <w:rPr>
          <w:rFonts w:ascii="Times New Roman" w:hAnsi="Times New Roman"/>
          <w:b/>
          <w:color w:val="auto"/>
          <w:szCs w:val="22"/>
        </w:rPr>
        <w:t>Anexo B</w:t>
      </w:r>
      <w:r w:rsidRPr="00506530">
        <w:rPr>
          <w:rFonts w:ascii="Times New Roman" w:hAnsi="Times New Roman"/>
          <w:color w:val="auto"/>
          <w:szCs w:val="22"/>
        </w:rPr>
        <w:t xml:space="preserve">: </w:t>
      </w:r>
      <w:r w:rsidR="005228B0">
        <w:rPr>
          <w:rFonts w:ascii="Times New Roman" w:hAnsi="Times New Roman"/>
          <w:color w:val="auto"/>
          <w:szCs w:val="22"/>
        </w:rPr>
        <w:t>Presupuesto</w:t>
      </w:r>
    </w:p>
    <w:p w14:paraId="45A22E83" w14:textId="77777777" w:rsidR="00F0016E" w:rsidRPr="005228B0" w:rsidRDefault="00F0016E" w:rsidP="00F0016E">
      <w:pPr>
        <w:numPr>
          <w:ilvl w:val="0"/>
          <w:numId w:val="2"/>
        </w:numPr>
        <w:ind w:left="360"/>
        <w:jc w:val="both"/>
        <w:rPr>
          <w:rFonts w:ascii="Times New Roman" w:hAnsi="Times New Roman"/>
          <w:snapToGrid w:val="0"/>
          <w:color w:val="auto"/>
          <w:szCs w:val="22"/>
        </w:rPr>
      </w:pPr>
      <w:r w:rsidRPr="00506530">
        <w:rPr>
          <w:rFonts w:ascii="Times New Roman" w:hAnsi="Times New Roman"/>
          <w:b/>
          <w:color w:val="auto"/>
          <w:szCs w:val="22"/>
        </w:rPr>
        <w:t>Anexo C</w:t>
      </w:r>
      <w:r w:rsidRPr="00506530">
        <w:rPr>
          <w:rFonts w:ascii="Times New Roman" w:hAnsi="Times New Roman"/>
          <w:color w:val="auto"/>
          <w:szCs w:val="22"/>
        </w:rPr>
        <w:t>: Principios de Protección de Datos de la OIM.</w:t>
      </w:r>
    </w:p>
    <w:p w14:paraId="0CEB3CCE" w14:textId="69614325" w:rsidR="005228B0" w:rsidRDefault="005228B0" w:rsidP="00F0016E">
      <w:pPr>
        <w:numPr>
          <w:ilvl w:val="0"/>
          <w:numId w:val="2"/>
        </w:numPr>
        <w:ind w:left="360"/>
        <w:jc w:val="both"/>
        <w:rPr>
          <w:rFonts w:ascii="Times New Roman" w:hAnsi="Times New Roman"/>
          <w:snapToGrid w:val="0"/>
          <w:color w:val="auto"/>
          <w:szCs w:val="22"/>
        </w:rPr>
      </w:pPr>
      <w:r w:rsidRPr="00960C3D">
        <w:rPr>
          <w:rFonts w:ascii="Times New Roman" w:hAnsi="Times New Roman"/>
          <w:b/>
          <w:color w:val="auto"/>
          <w:szCs w:val="22"/>
        </w:rPr>
        <w:t>Anexo</w:t>
      </w:r>
      <w:r w:rsidR="00960C3D" w:rsidRPr="00960C3D">
        <w:rPr>
          <w:rFonts w:ascii="Times New Roman" w:hAnsi="Times New Roman"/>
          <w:b/>
          <w:color w:val="auto"/>
          <w:szCs w:val="22"/>
        </w:rPr>
        <w:t xml:space="preserve"> </w:t>
      </w:r>
      <w:r w:rsidRPr="00960C3D">
        <w:rPr>
          <w:rFonts w:ascii="Times New Roman" w:hAnsi="Times New Roman"/>
          <w:b/>
          <w:color w:val="auto"/>
          <w:szCs w:val="22"/>
        </w:rPr>
        <w:t>D:</w:t>
      </w:r>
      <w:r w:rsidR="00215636" w:rsidRPr="00960C3D">
        <w:rPr>
          <w:rFonts w:ascii="Times New Roman" w:hAnsi="Times New Roman"/>
          <w:b/>
          <w:color w:val="auto"/>
          <w:szCs w:val="22"/>
        </w:rPr>
        <w:t xml:space="preserve"> </w:t>
      </w:r>
      <w:r w:rsidRPr="00960C3D">
        <w:rPr>
          <w:rFonts w:ascii="Times New Roman" w:hAnsi="Times New Roman"/>
          <w:bCs/>
          <w:color w:val="auto"/>
          <w:szCs w:val="22"/>
        </w:rPr>
        <w:t>Diseño preliminar del Centro de Recepción para Poblaciones Retornadas vía terrestre</w:t>
      </w:r>
      <w:r w:rsidRPr="00506530">
        <w:rPr>
          <w:rFonts w:ascii="Times New Roman" w:hAnsi="Times New Roman"/>
          <w:snapToGrid w:val="0"/>
          <w:color w:val="auto"/>
          <w:szCs w:val="22"/>
        </w:rPr>
        <w:t xml:space="preserve"> </w:t>
      </w:r>
    </w:p>
    <w:p w14:paraId="37D4C295" w14:textId="77777777" w:rsidR="006361A6" w:rsidRPr="00506530" w:rsidRDefault="006361A6" w:rsidP="006361A6">
      <w:pPr>
        <w:ind w:left="360"/>
        <w:jc w:val="both"/>
        <w:rPr>
          <w:rFonts w:ascii="Times New Roman" w:hAnsi="Times New Roman"/>
          <w:snapToGrid w:val="0"/>
          <w:color w:val="auto"/>
          <w:szCs w:val="22"/>
        </w:rPr>
      </w:pPr>
    </w:p>
    <w:p w14:paraId="25EB848E" w14:textId="77777777" w:rsidR="00F0016E" w:rsidRPr="00506530" w:rsidRDefault="00F0016E" w:rsidP="00F0016E">
      <w:pPr>
        <w:numPr>
          <w:ilvl w:val="0"/>
          <w:numId w:val="1"/>
        </w:numPr>
        <w:jc w:val="both"/>
        <w:rPr>
          <w:rFonts w:ascii="Times New Roman" w:hAnsi="Times New Roman"/>
          <w:b/>
          <w:bCs/>
          <w:snapToGrid w:val="0"/>
          <w:color w:val="auto"/>
          <w:szCs w:val="22"/>
        </w:rPr>
      </w:pPr>
      <w:r w:rsidRPr="00506530">
        <w:rPr>
          <w:rFonts w:ascii="Times New Roman" w:hAnsi="Times New Roman"/>
          <w:b/>
          <w:bCs/>
          <w:snapToGrid w:val="0"/>
          <w:color w:val="auto"/>
          <w:szCs w:val="22"/>
        </w:rPr>
        <w:lastRenderedPageBreak/>
        <w:t>Alcance del acuerdo</w:t>
      </w:r>
    </w:p>
    <w:p w14:paraId="57491546" w14:textId="77777777" w:rsidR="00F0016E" w:rsidRPr="00506530" w:rsidRDefault="00F0016E" w:rsidP="00F0016E">
      <w:pPr>
        <w:jc w:val="both"/>
        <w:rPr>
          <w:rFonts w:ascii="Times New Roman" w:hAnsi="Times New Roman"/>
          <w:snapToGrid w:val="0"/>
          <w:color w:val="auto"/>
          <w:szCs w:val="22"/>
        </w:rPr>
      </w:pPr>
    </w:p>
    <w:p w14:paraId="29C20888" w14:textId="034CFF96" w:rsidR="00F0016E" w:rsidRPr="00506530" w:rsidRDefault="00F0016E" w:rsidP="00F0016E">
      <w:pPr>
        <w:jc w:val="both"/>
        <w:rPr>
          <w:rFonts w:ascii="Times New Roman" w:hAnsi="Times New Roman"/>
          <w:snapToGrid w:val="0"/>
          <w:color w:val="auto"/>
          <w:szCs w:val="22"/>
        </w:rPr>
      </w:pPr>
      <w:r w:rsidRPr="00506530">
        <w:rPr>
          <w:rFonts w:ascii="Times New Roman" w:hAnsi="Times New Roman"/>
          <w:snapToGrid w:val="0"/>
          <w:color w:val="auto"/>
          <w:szCs w:val="22"/>
        </w:rPr>
        <w:t xml:space="preserve">El IGM estará a cargo, con el apoyo técnico de OIM, de gestionar las licencias y permisos requeridos para la construcción del nuevo CRPR vía terrestre, inscripción del proyecto en el Sistema Nacional de Inversión Pública a cargo de la Secretaría de Planificación y Programación de la Presidencia (SEGEPLAN) y facilitar la documentación que fuera solicitada por la OIM y USAID </w:t>
      </w:r>
      <w:r w:rsidRPr="00215636">
        <w:rPr>
          <w:rFonts w:ascii="Times New Roman" w:hAnsi="Times New Roman"/>
          <w:snapToGrid w:val="0"/>
          <w:color w:val="auto"/>
          <w:szCs w:val="22"/>
        </w:rPr>
        <w:t>como se describe en la</w:t>
      </w:r>
      <w:r w:rsidR="00215636" w:rsidRPr="00215636">
        <w:rPr>
          <w:rFonts w:ascii="Times New Roman" w:hAnsi="Times New Roman"/>
          <w:snapToGrid w:val="0"/>
          <w:color w:val="auto"/>
          <w:szCs w:val="22"/>
        </w:rPr>
        <w:t>s</w:t>
      </w:r>
      <w:r w:rsidRPr="00215636">
        <w:rPr>
          <w:rFonts w:ascii="Times New Roman" w:hAnsi="Times New Roman"/>
          <w:snapToGrid w:val="0"/>
          <w:color w:val="auto"/>
          <w:szCs w:val="22"/>
        </w:rPr>
        <w:t xml:space="preserve"> </w:t>
      </w:r>
      <w:r w:rsidR="00215636" w:rsidRPr="00215636">
        <w:rPr>
          <w:rFonts w:ascii="Times New Roman" w:hAnsi="Times New Roman"/>
          <w:snapToGrid w:val="0"/>
          <w:color w:val="auto"/>
          <w:szCs w:val="22"/>
        </w:rPr>
        <w:t>Especificaciones Técnicas</w:t>
      </w:r>
      <w:r w:rsidRPr="00215636">
        <w:rPr>
          <w:rFonts w:ascii="Times New Roman" w:hAnsi="Times New Roman"/>
          <w:snapToGrid w:val="0"/>
          <w:color w:val="auto"/>
          <w:szCs w:val="22"/>
        </w:rPr>
        <w:t xml:space="preserve"> (Anexo A) y de conformidad con el Presupuesto (Anexo B).</w:t>
      </w:r>
      <w:r w:rsidRPr="00506530">
        <w:rPr>
          <w:rFonts w:ascii="Times New Roman" w:hAnsi="Times New Roman"/>
          <w:snapToGrid w:val="0"/>
          <w:color w:val="auto"/>
          <w:szCs w:val="22"/>
        </w:rPr>
        <w:t xml:space="preserve"> </w:t>
      </w:r>
    </w:p>
    <w:p w14:paraId="13CE04AD" w14:textId="77777777" w:rsidR="00F0016E" w:rsidRPr="00506530" w:rsidRDefault="00F0016E" w:rsidP="00F0016E">
      <w:pPr>
        <w:jc w:val="both"/>
        <w:rPr>
          <w:rFonts w:ascii="Times New Roman" w:hAnsi="Times New Roman"/>
          <w:snapToGrid w:val="0"/>
          <w:color w:val="auto"/>
          <w:szCs w:val="22"/>
        </w:rPr>
      </w:pPr>
    </w:p>
    <w:p w14:paraId="61962E52" w14:textId="77777777" w:rsidR="00F0016E" w:rsidRPr="00973E60" w:rsidRDefault="00F0016E" w:rsidP="00F0016E">
      <w:pPr>
        <w:jc w:val="both"/>
        <w:rPr>
          <w:rFonts w:ascii="Times New Roman" w:hAnsi="Times New Roman"/>
          <w:snapToGrid w:val="0"/>
          <w:color w:val="auto"/>
          <w:szCs w:val="22"/>
        </w:rPr>
      </w:pPr>
      <w:r w:rsidRPr="00506530">
        <w:rPr>
          <w:rFonts w:ascii="Times New Roman" w:hAnsi="Times New Roman"/>
          <w:snapToGrid w:val="0"/>
          <w:color w:val="auto"/>
          <w:szCs w:val="22"/>
        </w:rPr>
        <w:t xml:space="preserve">La OIM estará a cargo de los diseños, supervisión, construcción y equipamiento del nuevo CRPR vía terrestre como se describe en la Nota Conceptual (Anexo A) y de conformidad con el Presupuesto (Anexo B). </w:t>
      </w:r>
    </w:p>
    <w:p w14:paraId="597BF8F2" w14:textId="77777777" w:rsidR="00F0016E" w:rsidRPr="00973E60" w:rsidRDefault="00F0016E" w:rsidP="00F0016E">
      <w:pPr>
        <w:jc w:val="both"/>
        <w:rPr>
          <w:rFonts w:ascii="Times New Roman" w:hAnsi="Times New Roman"/>
          <w:snapToGrid w:val="0"/>
          <w:color w:val="auto"/>
          <w:szCs w:val="22"/>
        </w:rPr>
      </w:pPr>
    </w:p>
    <w:p w14:paraId="040A511B" w14:textId="6D2FF5FD" w:rsidR="00F0016E" w:rsidRPr="00973E60" w:rsidRDefault="00F0016E" w:rsidP="00F0016E">
      <w:pPr>
        <w:jc w:val="both"/>
        <w:rPr>
          <w:rFonts w:ascii="Times New Roman" w:hAnsi="Times New Roman"/>
          <w:snapToGrid w:val="0"/>
          <w:color w:val="auto"/>
          <w:szCs w:val="22"/>
        </w:rPr>
      </w:pPr>
      <w:r w:rsidRPr="00973E60">
        <w:rPr>
          <w:rFonts w:ascii="Times New Roman" w:hAnsi="Times New Roman"/>
          <w:snapToGrid w:val="0"/>
          <w:color w:val="auto"/>
          <w:szCs w:val="22"/>
        </w:rPr>
        <w:t xml:space="preserve">Las Partes iniciarán las actividades a partir del </w:t>
      </w:r>
      <w:r w:rsidR="00D72319" w:rsidRPr="00973E60">
        <w:rPr>
          <w:rFonts w:ascii="Times New Roman" w:hAnsi="Times New Roman"/>
          <w:b/>
          <w:bCs/>
          <w:snapToGrid w:val="0"/>
          <w:color w:val="auto"/>
          <w:szCs w:val="22"/>
        </w:rPr>
        <w:t>29 de noviembre</w:t>
      </w:r>
      <w:r w:rsidRPr="00973E60">
        <w:rPr>
          <w:rFonts w:ascii="Times New Roman" w:hAnsi="Times New Roman"/>
          <w:b/>
          <w:bCs/>
          <w:snapToGrid w:val="0"/>
          <w:color w:val="auto"/>
          <w:szCs w:val="22"/>
        </w:rPr>
        <w:t xml:space="preserve"> de 2024</w:t>
      </w:r>
      <w:r w:rsidRPr="00973E60">
        <w:rPr>
          <w:rFonts w:ascii="Times New Roman" w:hAnsi="Times New Roman"/>
          <w:snapToGrid w:val="0"/>
          <w:color w:val="auto"/>
          <w:szCs w:val="22"/>
        </w:rPr>
        <w:t xml:space="preserve">, debiendo haber concluido las mismas de forma completa y satisfactoria a más tardar el </w:t>
      </w:r>
      <w:r w:rsidR="00D72319" w:rsidRPr="00973E60">
        <w:rPr>
          <w:rFonts w:ascii="Times New Roman" w:hAnsi="Times New Roman"/>
          <w:b/>
          <w:bCs/>
          <w:snapToGrid w:val="0"/>
          <w:color w:val="auto"/>
          <w:szCs w:val="22"/>
        </w:rPr>
        <w:t>30 de junio</w:t>
      </w:r>
      <w:r w:rsidRPr="00973E60">
        <w:rPr>
          <w:rFonts w:ascii="Times New Roman" w:hAnsi="Times New Roman"/>
          <w:b/>
          <w:bCs/>
          <w:snapToGrid w:val="0"/>
          <w:color w:val="auto"/>
          <w:szCs w:val="22"/>
        </w:rPr>
        <w:t xml:space="preserve"> de 2026</w:t>
      </w:r>
      <w:r w:rsidRPr="00973E60">
        <w:rPr>
          <w:rFonts w:ascii="Times New Roman" w:hAnsi="Times New Roman"/>
          <w:snapToGrid w:val="0"/>
          <w:color w:val="auto"/>
          <w:szCs w:val="22"/>
        </w:rPr>
        <w:t>.</w:t>
      </w:r>
    </w:p>
    <w:p w14:paraId="1AD62F95" w14:textId="77777777" w:rsidR="00F0016E" w:rsidRPr="00973E60" w:rsidRDefault="00F0016E" w:rsidP="00F0016E">
      <w:pPr>
        <w:jc w:val="both"/>
        <w:rPr>
          <w:rFonts w:ascii="Times New Roman" w:hAnsi="Times New Roman"/>
          <w:snapToGrid w:val="0"/>
          <w:color w:val="auto"/>
          <w:szCs w:val="22"/>
        </w:rPr>
      </w:pPr>
    </w:p>
    <w:p w14:paraId="25EC3881" w14:textId="77777777" w:rsidR="00F0016E" w:rsidRPr="00973E60" w:rsidRDefault="00F0016E" w:rsidP="00F0016E">
      <w:pPr>
        <w:numPr>
          <w:ilvl w:val="0"/>
          <w:numId w:val="1"/>
        </w:numPr>
        <w:jc w:val="both"/>
        <w:rPr>
          <w:rFonts w:ascii="Times New Roman" w:hAnsi="Times New Roman"/>
          <w:b/>
          <w:snapToGrid w:val="0"/>
          <w:color w:val="auto"/>
          <w:szCs w:val="22"/>
        </w:rPr>
      </w:pPr>
      <w:r w:rsidRPr="00973E60">
        <w:rPr>
          <w:rFonts w:ascii="Times New Roman" w:hAnsi="Times New Roman"/>
          <w:b/>
          <w:color w:val="auto"/>
          <w:szCs w:val="22"/>
        </w:rPr>
        <w:t>Responsabilidades de la OIM</w:t>
      </w:r>
    </w:p>
    <w:p w14:paraId="72406A60" w14:textId="77777777" w:rsidR="00F0016E" w:rsidRPr="00506530" w:rsidRDefault="00F0016E" w:rsidP="00F0016E">
      <w:pPr>
        <w:pStyle w:val="Textoindependiente"/>
        <w:ind w:firstLine="360"/>
        <w:jc w:val="both"/>
        <w:rPr>
          <w:rFonts w:ascii="Times New Roman" w:hAnsi="Times New Roman"/>
          <w:snapToGrid w:val="0"/>
          <w:color w:val="auto"/>
          <w:szCs w:val="22"/>
        </w:rPr>
      </w:pPr>
    </w:p>
    <w:p w14:paraId="2C3DE9F3" w14:textId="77777777" w:rsidR="00F0016E" w:rsidRPr="00506530" w:rsidRDefault="00F0016E" w:rsidP="00F0016E">
      <w:pPr>
        <w:pStyle w:val="Textoindependiente"/>
        <w:jc w:val="both"/>
        <w:rPr>
          <w:rFonts w:ascii="Times New Roman" w:hAnsi="Times New Roman"/>
          <w:snapToGrid w:val="0"/>
          <w:color w:val="auto"/>
          <w:szCs w:val="22"/>
        </w:rPr>
      </w:pPr>
      <w:r w:rsidRPr="00506530">
        <w:rPr>
          <w:rFonts w:ascii="Times New Roman" w:hAnsi="Times New Roman"/>
          <w:color w:val="auto"/>
          <w:szCs w:val="22"/>
        </w:rPr>
        <w:t>La OIM se compromete a:</w:t>
      </w:r>
    </w:p>
    <w:p w14:paraId="5E44D988" w14:textId="77777777" w:rsidR="00F0016E" w:rsidRPr="00506530" w:rsidRDefault="00F0016E" w:rsidP="00F0016E">
      <w:pPr>
        <w:pStyle w:val="Textoindependiente"/>
        <w:ind w:left="360"/>
        <w:jc w:val="both"/>
        <w:rPr>
          <w:rFonts w:ascii="Times New Roman" w:hAnsi="Times New Roman"/>
          <w:snapToGrid w:val="0"/>
          <w:color w:val="auto"/>
          <w:szCs w:val="22"/>
        </w:rPr>
      </w:pPr>
    </w:p>
    <w:p w14:paraId="125A1079" w14:textId="77777777" w:rsidR="00F0016E" w:rsidRPr="00506530" w:rsidRDefault="00F0016E" w:rsidP="00F0016E">
      <w:pPr>
        <w:numPr>
          <w:ilvl w:val="0"/>
          <w:numId w:val="4"/>
        </w:numPr>
        <w:ind w:left="360"/>
        <w:jc w:val="both"/>
        <w:rPr>
          <w:rFonts w:ascii="Times New Roman" w:hAnsi="Times New Roman"/>
          <w:snapToGrid w:val="0"/>
          <w:color w:val="auto"/>
          <w:szCs w:val="22"/>
        </w:rPr>
      </w:pPr>
      <w:r w:rsidRPr="00506530">
        <w:rPr>
          <w:rFonts w:ascii="Times New Roman" w:hAnsi="Times New Roman"/>
          <w:snapToGrid w:val="0"/>
          <w:color w:val="auto"/>
          <w:szCs w:val="22"/>
        </w:rPr>
        <w:t>Proporcionar un equipo técnico para la implementación de obras de infraestructura, incluyendo un punto focal para la coordinación de actividades relacionadas.</w:t>
      </w:r>
    </w:p>
    <w:p w14:paraId="2436B22C" w14:textId="77777777" w:rsidR="00F0016E" w:rsidRPr="00506530" w:rsidRDefault="00F0016E" w:rsidP="00F0016E">
      <w:pPr>
        <w:numPr>
          <w:ilvl w:val="0"/>
          <w:numId w:val="4"/>
        </w:numPr>
        <w:ind w:left="360"/>
        <w:jc w:val="both"/>
        <w:rPr>
          <w:rFonts w:ascii="Times New Roman" w:hAnsi="Times New Roman"/>
          <w:snapToGrid w:val="0"/>
          <w:color w:val="auto"/>
          <w:szCs w:val="22"/>
        </w:rPr>
      </w:pPr>
      <w:r w:rsidRPr="00506530">
        <w:rPr>
          <w:rFonts w:ascii="Times New Roman" w:hAnsi="Times New Roman"/>
          <w:snapToGrid w:val="0"/>
          <w:color w:val="auto"/>
          <w:szCs w:val="22"/>
        </w:rPr>
        <w:t xml:space="preserve">Cooperar, en la medida de lo posible, con el desarrollo de los diseños, supervisión y construcción del nuevo </w:t>
      </w:r>
      <w:r w:rsidRPr="00506530">
        <w:rPr>
          <w:rFonts w:ascii="Times New Roman" w:hAnsi="Times New Roman"/>
          <w:snapToGrid w:val="0"/>
          <w:color w:val="auto"/>
          <w:szCs w:val="22"/>
          <w:lang w:val="es-GT" w:eastAsia="en-US"/>
        </w:rPr>
        <w:t xml:space="preserve">CRPR vía terrestre </w:t>
      </w:r>
      <w:r w:rsidRPr="00506530">
        <w:rPr>
          <w:rFonts w:ascii="Times New Roman" w:hAnsi="Times New Roman"/>
          <w:snapToGrid w:val="0"/>
          <w:color w:val="auto"/>
          <w:szCs w:val="22"/>
        </w:rPr>
        <w:t>para la recepción y asistencia en condiciones dignas de personas migrantes, considerando que la iniciativa ha sido identificada, evaluada y acordada de manera conjunta entre el IGM y la OIM.</w:t>
      </w:r>
    </w:p>
    <w:p w14:paraId="615E0F02" w14:textId="77777777" w:rsidR="00F0016E" w:rsidRPr="00506530" w:rsidRDefault="00F0016E" w:rsidP="00F0016E">
      <w:pPr>
        <w:numPr>
          <w:ilvl w:val="0"/>
          <w:numId w:val="4"/>
        </w:numPr>
        <w:ind w:left="360"/>
        <w:jc w:val="both"/>
        <w:rPr>
          <w:rFonts w:ascii="Times New Roman" w:hAnsi="Times New Roman"/>
          <w:snapToGrid w:val="0"/>
          <w:color w:val="auto"/>
          <w:szCs w:val="22"/>
        </w:rPr>
      </w:pPr>
      <w:r w:rsidRPr="00506530">
        <w:rPr>
          <w:rFonts w:ascii="Times New Roman" w:hAnsi="Times New Roman"/>
          <w:snapToGrid w:val="0"/>
          <w:color w:val="auto"/>
          <w:szCs w:val="22"/>
        </w:rPr>
        <w:t>Proporcionar al IGM los documentos técnicos (planos de diseño, evaluaciones y estudios, y memorias de cálculo) que le permitan obtener los permisos y licencias de construcción.</w:t>
      </w:r>
    </w:p>
    <w:p w14:paraId="7072B570" w14:textId="77777777" w:rsidR="00F0016E" w:rsidRPr="00506530" w:rsidRDefault="00F0016E" w:rsidP="00F0016E">
      <w:pPr>
        <w:numPr>
          <w:ilvl w:val="0"/>
          <w:numId w:val="4"/>
        </w:numPr>
        <w:ind w:left="360"/>
        <w:jc w:val="both"/>
        <w:rPr>
          <w:rFonts w:ascii="Times New Roman" w:hAnsi="Times New Roman"/>
          <w:snapToGrid w:val="0"/>
          <w:color w:val="auto"/>
          <w:szCs w:val="22"/>
        </w:rPr>
      </w:pPr>
      <w:r w:rsidRPr="00506530">
        <w:rPr>
          <w:rFonts w:ascii="Times New Roman" w:hAnsi="Times New Roman"/>
          <w:snapToGrid w:val="0"/>
          <w:color w:val="auto"/>
          <w:szCs w:val="22"/>
        </w:rPr>
        <w:t>Facilitar el manual de mantenimiento del nuevo CRPR vía terrestre, el que contendrá las actividades, frecuencia, y demás detalles de los trabajos de mantenimiento.</w:t>
      </w:r>
    </w:p>
    <w:p w14:paraId="7BA7713C" w14:textId="77777777" w:rsidR="00F0016E" w:rsidRPr="00506530" w:rsidRDefault="00F0016E" w:rsidP="00F0016E">
      <w:pPr>
        <w:ind w:left="360"/>
        <w:jc w:val="both"/>
        <w:rPr>
          <w:rFonts w:ascii="Times New Roman" w:hAnsi="Times New Roman"/>
          <w:snapToGrid w:val="0"/>
          <w:color w:val="auto"/>
          <w:szCs w:val="22"/>
        </w:rPr>
      </w:pPr>
    </w:p>
    <w:p w14:paraId="61B00C32" w14:textId="77777777" w:rsidR="00F0016E" w:rsidRPr="00506530" w:rsidRDefault="00F0016E" w:rsidP="00F0016E">
      <w:pPr>
        <w:numPr>
          <w:ilvl w:val="0"/>
          <w:numId w:val="1"/>
        </w:numPr>
        <w:jc w:val="both"/>
        <w:rPr>
          <w:rFonts w:ascii="Times New Roman" w:hAnsi="Times New Roman"/>
          <w:color w:val="auto"/>
          <w:szCs w:val="22"/>
        </w:rPr>
      </w:pPr>
      <w:r w:rsidRPr="00506530">
        <w:rPr>
          <w:rFonts w:ascii="Times New Roman" w:hAnsi="Times New Roman"/>
          <w:b/>
          <w:color w:val="auto"/>
          <w:szCs w:val="22"/>
        </w:rPr>
        <w:t>Responsabilidades del IGM</w:t>
      </w:r>
    </w:p>
    <w:p w14:paraId="39D0CEAE" w14:textId="77777777" w:rsidR="00F0016E" w:rsidRPr="00506530" w:rsidRDefault="00F0016E" w:rsidP="00F0016E">
      <w:pPr>
        <w:ind w:left="360"/>
        <w:jc w:val="both"/>
        <w:rPr>
          <w:rFonts w:ascii="Times New Roman" w:hAnsi="Times New Roman"/>
          <w:snapToGrid w:val="0"/>
          <w:color w:val="auto"/>
          <w:szCs w:val="22"/>
        </w:rPr>
      </w:pPr>
    </w:p>
    <w:p w14:paraId="1A95ADFF" w14:textId="77777777" w:rsidR="00F0016E" w:rsidRPr="00506530" w:rsidRDefault="00F0016E" w:rsidP="00B56E7B">
      <w:pPr>
        <w:numPr>
          <w:ilvl w:val="1"/>
          <w:numId w:val="1"/>
        </w:numPr>
        <w:ind w:left="426" w:hanging="408"/>
        <w:jc w:val="both"/>
        <w:rPr>
          <w:rFonts w:ascii="Times New Roman" w:hAnsi="Times New Roman"/>
          <w:snapToGrid w:val="0"/>
          <w:color w:val="auto"/>
          <w:szCs w:val="22"/>
        </w:rPr>
      </w:pPr>
      <w:r w:rsidRPr="00506530">
        <w:rPr>
          <w:rFonts w:ascii="Times New Roman" w:hAnsi="Times New Roman"/>
          <w:color w:val="auto"/>
          <w:szCs w:val="22"/>
        </w:rPr>
        <w:t xml:space="preserve">Antes de la entrega de la </w:t>
      </w:r>
      <w:r w:rsidRPr="00506530">
        <w:rPr>
          <w:rFonts w:ascii="Times New Roman" w:hAnsi="Times New Roman"/>
          <w:snapToGrid w:val="0"/>
          <w:color w:val="auto"/>
          <w:szCs w:val="22"/>
          <w:lang w:val="es-GT" w:eastAsia="en-US"/>
        </w:rPr>
        <w:t>infraestructura del CRPR vía terrestre, el IGM</w:t>
      </w:r>
      <w:r w:rsidRPr="00506530">
        <w:rPr>
          <w:rFonts w:ascii="Times New Roman" w:hAnsi="Times New Roman"/>
          <w:color w:val="auto"/>
          <w:szCs w:val="22"/>
        </w:rPr>
        <w:t xml:space="preserve"> se compromete a: </w:t>
      </w:r>
    </w:p>
    <w:p w14:paraId="7B40DFBB" w14:textId="77777777" w:rsidR="00F0016E" w:rsidRPr="00506530" w:rsidRDefault="00F0016E" w:rsidP="00F0016E">
      <w:pPr>
        <w:tabs>
          <w:tab w:val="left" w:pos="1440"/>
        </w:tabs>
        <w:spacing w:line="23" w:lineRule="atLeast"/>
        <w:ind w:left="360"/>
        <w:jc w:val="both"/>
        <w:rPr>
          <w:rFonts w:ascii="Times New Roman" w:hAnsi="Times New Roman"/>
          <w:snapToGrid w:val="0"/>
          <w:color w:val="auto"/>
          <w:szCs w:val="22"/>
          <w:lang w:eastAsia="en-US"/>
        </w:rPr>
      </w:pPr>
    </w:p>
    <w:p w14:paraId="02D40FCF" w14:textId="77777777" w:rsidR="00F0016E" w:rsidRPr="004245A0" w:rsidRDefault="00F0016E" w:rsidP="004245A0">
      <w:pPr>
        <w:numPr>
          <w:ilvl w:val="0"/>
          <w:numId w:val="7"/>
        </w:numPr>
        <w:ind w:left="364" w:hanging="364"/>
        <w:jc w:val="both"/>
        <w:rPr>
          <w:rFonts w:ascii="Times New Roman" w:hAnsi="Times New Roman"/>
          <w:snapToGrid w:val="0"/>
          <w:color w:val="auto"/>
          <w:szCs w:val="22"/>
        </w:rPr>
      </w:pPr>
      <w:r w:rsidRPr="004245A0">
        <w:rPr>
          <w:rFonts w:ascii="Times New Roman" w:hAnsi="Times New Roman"/>
          <w:snapToGrid w:val="0"/>
          <w:color w:val="auto"/>
          <w:szCs w:val="22"/>
        </w:rPr>
        <w:t>Acompañar a la OIM durante el proceso de diseño y construcción del CRPR vía terrestre a ubicarse en la quinta avenida y novena calle, zona 1, Ayutla, San Marcos.</w:t>
      </w:r>
    </w:p>
    <w:p w14:paraId="1C6F29E1" w14:textId="77777777" w:rsidR="00F0016E" w:rsidRPr="004245A0" w:rsidRDefault="00F0016E" w:rsidP="004245A0">
      <w:pPr>
        <w:numPr>
          <w:ilvl w:val="0"/>
          <w:numId w:val="7"/>
        </w:numPr>
        <w:ind w:left="360"/>
        <w:jc w:val="both"/>
        <w:rPr>
          <w:rFonts w:ascii="Times New Roman" w:hAnsi="Times New Roman"/>
          <w:snapToGrid w:val="0"/>
          <w:color w:val="auto"/>
          <w:szCs w:val="22"/>
        </w:rPr>
      </w:pPr>
      <w:r w:rsidRPr="004245A0">
        <w:rPr>
          <w:rFonts w:ascii="Times New Roman" w:hAnsi="Times New Roman"/>
          <w:snapToGrid w:val="0"/>
          <w:color w:val="auto"/>
          <w:szCs w:val="22"/>
        </w:rPr>
        <w:t xml:space="preserve">Designar un punto focal para coordinar las actividades de diseño y construcción del nuevo CRPR vía terrestre. El punto focal deberá ser parte del equipo del IGM. </w:t>
      </w:r>
    </w:p>
    <w:p w14:paraId="6FA660A0" w14:textId="77777777" w:rsidR="00F0016E" w:rsidRPr="004245A0" w:rsidRDefault="00F0016E" w:rsidP="004245A0">
      <w:pPr>
        <w:numPr>
          <w:ilvl w:val="0"/>
          <w:numId w:val="7"/>
        </w:numPr>
        <w:ind w:left="360"/>
        <w:jc w:val="both"/>
        <w:rPr>
          <w:rFonts w:ascii="Times New Roman" w:hAnsi="Times New Roman"/>
          <w:snapToGrid w:val="0"/>
          <w:color w:val="auto"/>
          <w:szCs w:val="22"/>
        </w:rPr>
      </w:pPr>
      <w:r w:rsidRPr="004245A0">
        <w:rPr>
          <w:rFonts w:ascii="Times New Roman" w:hAnsi="Times New Roman"/>
          <w:snapToGrid w:val="0"/>
          <w:color w:val="auto"/>
          <w:szCs w:val="22"/>
        </w:rPr>
        <w:t xml:space="preserve">Gestionar, con apoyo técnico de la OIM, las licencias y permisos requeridos con los entes correspondientes para la construcción del nuevo CRPR vía terrestre. </w:t>
      </w:r>
    </w:p>
    <w:p w14:paraId="5CD5BA55" w14:textId="77777777" w:rsidR="00F0016E" w:rsidRPr="004245A0" w:rsidRDefault="00F0016E" w:rsidP="004245A0">
      <w:pPr>
        <w:numPr>
          <w:ilvl w:val="0"/>
          <w:numId w:val="7"/>
        </w:numPr>
        <w:ind w:left="360"/>
        <w:jc w:val="both"/>
        <w:rPr>
          <w:rFonts w:ascii="Times New Roman" w:hAnsi="Times New Roman"/>
          <w:snapToGrid w:val="0"/>
          <w:color w:val="auto"/>
          <w:szCs w:val="22"/>
        </w:rPr>
      </w:pPr>
      <w:r w:rsidRPr="004245A0">
        <w:rPr>
          <w:rFonts w:ascii="Times New Roman" w:hAnsi="Times New Roman"/>
          <w:snapToGrid w:val="0"/>
          <w:color w:val="auto"/>
          <w:szCs w:val="22"/>
        </w:rPr>
        <w:t xml:space="preserve">Proporcionar la documentación legal que compruebe la adscripción a favor del IGM del terreno ubicado en la quinta avenida, zona tres (3), Colonia La Verde, Ciudad Tecún Umán, Municipio de Ayutla, Departamento de San Marcos, así como otros que permitan validar el uso libre del inmueble para la construcción del nuevo CRPR vía terrestre. </w:t>
      </w:r>
    </w:p>
    <w:p w14:paraId="0E5A316A" w14:textId="77777777" w:rsidR="00F0016E" w:rsidRPr="00506530" w:rsidRDefault="00F0016E" w:rsidP="00F0016E">
      <w:pPr>
        <w:tabs>
          <w:tab w:val="left" w:pos="1440"/>
        </w:tabs>
        <w:spacing w:line="23" w:lineRule="atLeast"/>
        <w:ind w:left="360"/>
        <w:jc w:val="both"/>
        <w:rPr>
          <w:rFonts w:ascii="Times New Roman" w:hAnsi="Times New Roman"/>
          <w:snapToGrid w:val="0"/>
          <w:color w:val="auto"/>
          <w:szCs w:val="22"/>
          <w:lang w:val="es-GT" w:eastAsia="en-US"/>
        </w:rPr>
      </w:pPr>
    </w:p>
    <w:p w14:paraId="35265D84" w14:textId="77777777" w:rsidR="00F0016E" w:rsidRPr="00506530" w:rsidRDefault="00F0016E" w:rsidP="00F0016E">
      <w:pPr>
        <w:numPr>
          <w:ilvl w:val="1"/>
          <w:numId w:val="1"/>
        </w:numPr>
        <w:ind w:left="450"/>
        <w:jc w:val="both"/>
        <w:rPr>
          <w:rFonts w:ascii="Times New Roman" w:hAnsi="Times New Roman"/>
          <w:snapToGrid w:val="0"/>
          <w:color w:val="auto"/>
          <w:szCs w:val="22"/>
          <w:lang w:val="es-GT" w:eastAsia="en-US"/>
        </w:rPr>
      </w:pPr>
      <w:r w:rsidRPr="00506530">
        <w:rPr>
          <w:rFonts w:ascii="Times New Roman" w:hAnsi="Times New Roman"/>
          <w:snapToGrid w:val="0"/>
          <w:color w:val="auto"/>
          <w:szCs w:val="22"/>
          <w:lang w:val="es-GT" w:eastAsia="en-US"/>
        </w:rPr>
        <w:t xml:space="preserve">Posterior a la entrega de la </w:t>
      </w:r>
      <w:r w:rsidRPr="00506530">
        <w:rPr>
          <w:rFonts w:ascii="Times New Roman" w:hAnsi="Times New Roman"/>
          <w:snapToGrid w:val="0"/>
          <w:color w:val="000000"/>
          <w:szCs w:val="22"/>
          <w:lang w:val="es-GT"/>
        </w:rPr>
        <w:t>infraestructura</w:t>
      </w:r>
      <w:r w:rsidRPr="00506530">
        <w:rPr>
          <w:rFonts w:ascii="Times New Roman" w:hAnsi="Times New Roman"/>
          <w:snapToGrid w:val="0"/>
          <w:color w:val="auto"/>
          <w:szCs w:val="22"/>
          <w:lang w:val="es-GT" w:eastAsia="en-US"/>
        </w:rPr>
        <w:t xml:space="preserve"> del CRPR vía terrestre, el IGM se compromete a:</w:t>
      </w:r>
    </w:p>
    <w:p w14:paraId="1BDE58A9" w14:textId="77777777" w:rsidR="00F0016E" w:rsidRPr="00506530" w:rsidRDefault="00F0016E" w:rsidP="00F0016E">
      <w:pPr>
        <w:tabs>
          <w:tab w:val="left" w:pos="1440"/>
        </w:tabs>
        <w:spacing w:line="23" w:lineRule="atLeast"/>
        <w:ind w:left="360"/>
        <w:jc w:val="both"/>
        <w:rPr>
          <w:rFonts w:ascii="Times New Roman" w:hAnsi="Times New Roman"/>
          <w:snapToGrid w:val="0"/>
          <w:color w:val="auto"/>
          <w:szCs w:val="22"/>
          <w:lang w:val="es-GT" w:eastAsia="en-US"/>
        </w:rPr>
      </w:pPr>
    </w:p>
    <w:p w14:paraId="3BFC1EB7" w14:textId="77777777" w:rsidR="00F0016E" w:rsidRPr="00506530" w:rsidRDefault="00F0016E" w:rsidP="00F0016E">
      <w:pPr>
        <w:numPr>
          <w:ilvl w:val="0"/>
          <w:numId w:val="6"/>
        </w:numPr>
        <w:tabs>
          <w:tab w:val="left" w:pos="360"/>
        </w:tabs>
        <w:spacing w:line="23" w:lineRule="atLeast"/>
        <w:ind w:left="360"/>
        <w:jc w:val="both"/>
        <w:rPr>
          <w:rFonts w:ascii="Times New Roman" w:hAnsi="Times New Roman"/>
          <w:snapToGrid w:val="0"/>
          <w:color w:val="auto"/>
          <w:szCs w:val="22"/>
          <w:lang w:val="es-GT" w:eastAsia="en-US"/>
        </w:rPr>
      </w:pPr>
      <w:r w:rsidRPr="00506530">
        <w:rPr>
          <w:rFonts w:ascii="Times New Roman" w:hAnsi="Times New Roman"/>
          <w:snapToGrid w:val="0"/>
          <w:color w:val="auto"/>
          <w:szCs w:val="22"/>
          <w:lang w:val="es-GT" w:eastAsia="en-US"/>
        </w:rPr>
        <w:t xml:space="preserve">Velar por la limpieza y servicios básicos municipales correspondientes incluyendo las gestiones y pagos de honorarios correspondientes. </w:t>
      </w:r>
    </w:p>
    <w:p w14:paraId="52332BB8" w14:textId="40846AB4" w:rsidR="00F0016E" w:rsidRPr="00506530" w:rsidRDefault="00F0016E" w:rsidP="00F0016E">
      <w:pPr>
        <w:numPr>
          <w:ilvl w:val="0"/>
          <w:numId w:val="6"/>
        </w:numPr>
        <w:tabs>
          <w:tab w:val="left" w:pos="360"/>
        </w:tabs>
        <w:spacing w:line="23" w:lineRule="atLeast"/>
        <w:ind w:left="360"/>
        <w:jc w:val="both"/>
        <w:rPr>
          <w:rFonts w:ascii="Times New Roman" w:hAnsi="Times New Roman"/>
          <w:snapToGrid w:val="0"/>
          <w:color w:val="auto"/>
          <w:szCs w:val="22"/>
          <w:lang w:val="es-GT" w:eastAsia="en-US"/>
        </w:rPr>
      </w:pPr>
      <w:r w:rsidRPr="00506530">
        <w:rPr>
          <w:rFonts w:ascii="Times New Roman" w:hAnsi="Times New Roman"/>
          <w:snapToGrid w:val="0"/>
          <w:color w:val="auto"/>
          <w:szCs w:val="22"/>
          <w:lang w:val="es-GT" w:eastAsia="en-US"/>
        </w:rPr>
        <w:t xml:space="preserve">Garantizar, en la medida de lo posible, el funcionamiento adecuado del nuevo CRPR vía terrestre por medio de un plan general de mantenimiento que considere al menos (a) el sistema de agua potable, (b) </w:t>
      </w:r>
      <w:r w:rsidRPr="00506530">
        <w:rPr>
          <w:rFonts w:ascii="Times New Roman" w:hAnsi="Times New Roman"/>
          <w:snapToGrid w:val="0"/>
          <w:color w:val="auto"/>
          <w:szCs w:val="22"/>
          <w:lang w:val="es-GT" w:eastAsia="en-US"/>
        </w:rPr>
        <w:lastRenderedPageBreak/>
        <w:t>red de drenaje pluvial, (c) drenaje sanitario, (d) red eléctrica, y (e) equipos de extracción de olores en baños y elementos arquitectónicos</w:t>
      </w:r>
      <w:r w:rsidR="00102023">
        <w:rPr>
          <w:rFonts w:ascii="Times New Roman" w:hAnsi="Times New Roman"/>
          <w:snapToGrid w:val="0"/>
          <w:color w:val="auto"/>
          <w:szCs w:val="22"/>
          <w:lang w:val="es-GT" w:eastAsia="en-US"/>
        </w:rPr>
        <w:t>.</w:t>
      </w:r>
    </w:p>
    <w:p w14:paraId="10211880" w14:textId="77777777" w:rsidR="00F0016E" w:rsidRPr="00506530" w:rsidRDefault="00F0016E" w:rsidP="00F0016E">
      <w:pPr>
        <w:numPr>
          <w:ilvl w:val="0"/>
          <w:numId w:val="6"/>
        </w:numPr>
        <w:tabs>
          <w:tab w:val="left" w:pos="360"/>
        </w:tabs>
        <w:spacing w:line="23" w:lineRule="atLeast"/>
        <w:ind w:left="360"/>
        <w:jc w:val="both"/>
        <w:rPr>
          <w:rFonts w:ascii="Times New Roman" w:hAnsi="Times New Roman"/>
          <w:snapToGrid w:val="0"/>
          <w:color w:val="auto"/>
          <w:szCs w:val="22"/>
          <w:lang w:val="es-GT" w:eastAsia="en-US"/>
        </w:rPr>
      </w:pPr>
      <w:r w:rsidRPr="00506530">
        <w:rPr>
          <w:rFonts w:ascii="Times New Roman" w:hAnsi="Times New Roman"/>
          <w:snapToGrid w:val="0"/>
          <w:color w:val="auto"/>
          <w:szCs w:val="22"/>
          <w:lang w:val="es-GT" w:eastAsia="en-US"/>
        </w:rPr>
        <w:t>Llevar una bitácora de mantenimiento, en base al plan general, la cual el IGM mantendrá actualizada y podrá ser consultada de forma anual</w:t>
      </w:r>
      <w:r w:rsidRPr="00506530">
        <w:rPr>
          <w:rFonts w:ascii="Times New Roman" w:hAnsi="Times New Roman"/>
          <w:snapToGrid w:val="0"/>
          <w:color w:val="auto"/>
          <w:szCs w:val="22"/>
          <w:lang w:eastAsia="en-US"/>
        </w:rPr>
        <w:t>,</w:t>
      </w:r>
      <w:r w:rsidRPr="00506530">
        <w:rPr>
          <w:rFonts w:ascii="Times New Roman" w:hAnsi="Times New Roman"/>
          <w:snapToGrid w:val="0"/>
          <w:color w:val="auto"/>
          <w:szCs w:val="22"/>
          <w:lang w:val="es-GT" w:eastAsia="en-US"/>
        </w:rPr>
        <w:t xml:space="preserve"> por la OIM y USAID, como medio de verificación del cumplimiento del plan.</w:t>
      </w:r>
    </w:p>
    <w:p w14:paraId="60B59421" w14:textId="77777777" w:rsidR="00F0016E" w:rsidRPr="00506530" w:rsidRDefault="00F0016E" w:rsidP="00F0016E">
      <w:pPr>
        <w:numPr>
          <w:ilvl w:val="0"/>
          <w:numId w:val="6"/>
        </w:numPr>
        <w:tabs>
          <w:tab w:val="left" w:pos="360"/>
        </w:tabs>
        <w:spacing w:line="23" w:lineRule="atLeast"/>
        <w:ind w:left="360"/>
        <w:jc w:val="both"/>
        <w:rPr>
          <w:rFonts w:ascii="Times New Roman" w:hAnsi="Times New Roman"/>
          <w:snapToGrid w:val="0"/>
          <w:color w:val="auto"/>
          <w:szCs w:val="22"/>
          <w:lang w:val="es-GT" w:eastAsia="en-US"/>
        </w:rPr>
      </w:pPr>
      <w:r w:rsidRPr="00506530">
        <w:rPr>
          <w:rFonts w:ascii="Times New Roman" w:hAnsi="Times New Roman"/>
          <w:snapToGrid w:val="0"/>
          <w:color w:val="auto"/>
          <w:szCs w:val="22"/>
          <w:lang w:val="es-GT" w:eastAsia="en-US"/>
        </w:rPr>
        <w:t>Contemplar un presupuesto anual de funcionamiento del nuevo CRPR vía terrestre, incluyendo al menos los rubros de limpieza, servicios básicos municipales, y el plan general de mantenimiento.</w:t>
      </w:r>
    </w:p>
    <w:p w14:paraId="3100A795" w14:textId="77777777" w:rsidR="00F0016E" w:rsidRPr="00506530" w:rsidRDefault="00F0016E" w:rsidP="00F0016E">
      <w:pPr>
        <w:tabs>
          <w:tab w:val="left" w:pos="1425"/>
        </w:tabs>
        <w:jc w:val="both"/>
        <w:rPr>
          <w:rFonts w:ascii="Times New Roman" w:hAnsi="Times New Roman"/>
          <w:snapToGrid w:val="0"/>
          <w:color w:val="auto"/>
          <w:szCs w:val="22"/>
        </w:rPr>
      </w:pPr>
    </w:p>
    <w:p w14:paraId="0129C0B2" w14:textId="77777777" w:rsidR="00F0016E" w:rsidRPr="00506530" w:rsidRDefault="00F0016E" w:rsidP="00F0016E">
      <w:pPr>
        <w:numPr>
          <w:ilvl w:val="0"/>
          <w:numId w:val="1"/>
        </w:numPr>
        <w:tabs>
          <w:tab w:val="num" w:pos="360"/>
        </w:tabs>
        <w:jc w:val="both"/>
        <w:rPr>
          <w:rFonts w:ascii="Times New Roman" w:hAnsi="Times New Roman"/>
          <w:b/>
          <w:snapToGrid w:val="0"/>
          <w:color w:val="000000"/>
          <w:szCs w:val="22"/>
        </w:rPr>
      </w:pPr>
      <w:r w:rsidRPr="00506530">
        <w:rPr>
          <w:rFonts w:ascii="Times New Roman" w:hAnsi="Times New Roman"/>
          <w:b/>
          <w:color w:val="000000"/>
          <w:szCs w:val="22"/>
        </w:rPr>
        <w:t xml:space="preserve">Finanzas </w:t>
      </w:r>
    </w:p>
    <w:p w14:paraId="39D21DAB" w14:textId="77777777" w:rsidR="00F0016E" w:rsidRPr="00506530" w:rsidRDefault="00F0016E" w:rsidP="00F0016E">
      <w:pPr>
        <w:ind w:left="720"/>
        <w:jc w:val="both"/>
        <w:rPr>
          <w:rFonts w:ascii="Times New Roman" w:hAnsi="Times New Roman"/>
          <w:b/>
          <w:snapToGrid w:val="0"/>
          <w:color w:val="000000"/>
          <w:szCs w:val="22"/>
        </w:rPr>
      </w:pPr>
    </w:p>
    <w:p w14:paraId="4CC8FB05" w14:textId="77777777" w:rsidR="00F0016E" w:rsidRPr="00506530" w:rsidRDefault="00F0016E" w:rsidP="00F0016E">
      <w:pPr>
        <w:ind w:left="360"/>
        <w:jc w:val="both"/>
        <w:rPr>
          <w:rFonts w:ascii="Times New Roman" w:hAnsi="Times New Roman"/>
          <w:bCs/>
          <w:snapToGrid w:val="0"/>
          <w:color w:val="000000"/>
          <w:szCs w:val="22"/>
        </w:rPr>
      </w:pPr>
      <w:r w:rsidRPr="00506530">
        <w:rPr>
          <w:rFonts w:ascii="Times New Roman" w:hAnsi="Times New Roman"/>
          <w:bCs/>
          <w:snapToGrid w:val="0"/>
          <w:color w:val="000000"/>
          <w:szCs w:val="22"/>
        </w:rPr>
        <w:t xml:space="preserve">En el marco del proyecto para la construcción del nuevo CRPR vía terrestre, OIM ha recibido fondos de USAID por la suma de </w:t>
      </w:r>
      <w:r w:rsidRPr="00973E60">
        <w:rPr>
          <w:rFonts w:ascii="Times New Roman" w:hAnsi="Times New Roman"/>
          <w:b/>
          <w:snapToGrid w:val="0"/>
          <w:color w:val="000000"/>
          <w:szCs w:val="22"/>
        </w:rPr>
        <w:t>USD1,950,000</w:t>
      </w:r>
      <w:r w:rsidRPr="00506530">
        <w:rPr>
          <w:rFonts w:ascii="Times New Roman" w:hAnsi="Times New Roman"/>
          <w:bCs/>
          <w:snapToGrid w:val="0"/>
          <w:color w:val="000000"/>
          <w:szCs w:val="22"/>
        </w:rPr>
        <w:t xml:space="preserve"> (un millón novecientos cincuenta mil dólares de los Estados Unidos de América) que serán destinados al diseño, construcción y equipamiento de la infraestructura según lo establecido en la Nota Conceptual (Anexo A). </w:t>
      </w:r>
    </w:p>
    <w:p w14:paraId="5552C236" w14:textId="77777777" w:rsidR="00F0016E" w:rsidRPr="00506530" w:rsidRDefault="00F0016E" w:rsidP="00F0016E">
      <w:pPr>
        <w:jc w:val="both"/>
        <w:rPr>
          <w:rFonts w:ascii="Times New Roman" w:hAnsi="Times New Roman"/>
          <w:b/>
          <w:snapToGrid w:val="0"/>
          <w:color w:val="000000"/>
          <w:szCs w:val="22"/>
        </w:rPr>
      </w:pPr>
    </w:p>
    <w:p w14:paraId="62F171D3" w14:textId="77777777" w:rsidR="00F0016E" w:rsidRPr="00506530" w:rsidRDefault="00F0016E" w:rsidP="00F0016E">
      <w:pPr>
        <w:numPr>
          <w:ilvl w:val="0"/>
          <w:numId w:val="1"/>
        </w:numPr>
        <w:tabs>
          <w:tab w:val="num" w:pos="360"/>
        </w:tabs>
        <w:jc w:val="both"/>
        <w:rPr>
          <w:rFonts w:ascii="Times New Roman" w:hAnsi="Times New Roman"/>
          <w:i/>
          <w:color w:val="000000"/>
          <w:szCs w:val="22"/>
        </w:rPr>
      </w:pPr>
      <w:r w:rsidRPr="00506530">
        <w:rPr>
          <w:rFonts w:ascii="Times New Roman" w:hAnsi="Times New Roman"/>
          <w:b/>
          <w:color w:val="000000"/>
          <w:szCs w:val="22"/>
        </w:rPr>
        <w:t>Presentación de informes</w:t>
      </w:r>
      <w:r w:rsidRPr="00506530">
        <w:rPr>
          <w:rFonts w:ascii="Times New Roman" w:hAnsi="Times New Roman"/>
          <w:color w:val="000000"/>
          <w:szCs w:val="22"/>
        </w:rPr>
        <w:t xml:space="preserve"> </w:t>
      </w:r>
    </w:p>
    <w:p w14:paraId="63A88E2E" w14:textId="77777777" w:rsidR="00F0016E" w:rsidRPr="00506530" w:rsidRDefault="00F0016E" w:rsidP="00F0016E">
      <w:pPr>
        <w:jc w:val="both"/>
        <w:rPr>
          <w:rFonts w:ascii="Times New Roman" w:hAnsi="Times New Roman"/>
          <w:i/>
          <w:snapToGrid w:val="0"/>
          <w:color w:val="000000"/>
          <w:szCs w:val="22"/>
        </w:rPr>
      </w:pPr>
    </w:p>
    <w:p w14:paraId="54637571" w14:textId="77777777" w:rsidR="00F0016E" w:rsidRPr="00506530" w:rsidRDefault="00F0016E" w:rsidP="00F0016E">
      <w:pPr>
        <w:numPr>
          <w:ilvl w:val="1"/>
          <w:numId w:val="1"/>
        </w:numPr>
        <w:ind w:left="450"/>
        <w:jc w:val="both"/>
        <w:rPr>
          <w:rFonts w:ascii="Times New Roman" w:hAnsi="Times New Roman"/>
          <w:snapToGrid w:val="0"/>
          <w:color w:val="000000"/>
          <w:szCs w:val="22"/>
          <w:lang w:val="es-GT"/>
        </w:rPr>
      </w:pPr>
      <w:r w:rsidRPr="00506530">
        <w:rPr>
          <w:rFonts w:ascii="Times New Roman" w:hAnsi="Times New Roman"/>
          <w:snapToGrid w:val="0"/>
          <w:color w:val="000000"/>
          <w:szCs w:val="22"/>
          <w:lang w:val="es-GT"/>
        </w:rPr>
        <w:t xml:space="preserve">Se </w:t>
      </w:r>
      <w:r w:rsidRPr="00506530">
        <w:rPr>
          <w:rFonts w:ascii="Times New Roman" w:hAnsi="Times New Roman"/>
          <w:snapToGrid w:val="0"/>
          <w:color w:val="auto"/>
          <w:szCs w:val="22"/>
        </w:rPr>
        <w:t>realizarán</w:t>
      </w:r>
      <w:r w:rsidRPr="00506530">
        <w:rPr>
          <w:rFonts w:ascii="Times New Roman" w:hAnsi="Times New Roman"/>
          <w:snapToGrid w:val="0"/>
          <w:color w:val="000000"/>
          <w:szCs w:val="22"/>
          <w:lang w:val="es-GT"/>
        </w:rPr>
        <w:t xml:space="preserve"> informes trimestrales de avance, durante la ejecución del proyecto, y un informe narrativo final de la iniciativa a más tardar quince días hábiles después de haber finalizado el acuerdo, el cual deberá resumir todas las actividades realizadas y los resultados obtenidos, además de enunciar en qué medida se alcanzaron los objetivos de este.</w:t>
      </w:r>
    </w:p>
    <w:p w14:paraId="069D5E20" w14:textId="77777777" w:rsidR="00F0016E" w:rsidRPr="00506530" w:rsidRDefault="00F0016E" w:rsidP="00F0016E">
      <w:pPr>
        <w:ind w:left="360"/>
        <w:jc w:val="both"/>
        <w:rPr>
          <w:rFonts w:ascii="Times New Roman" w:hAnsi="Times New Roman"/>
          <w:snapToGrid w:val="0"/>
          <w:color w:val="000000"/>
          <w:szCs w:val="22"/>
          <w:lang w:val="es-GT"/>
        </w:rPr>
      </w:pPr>
    </w:p>
    <w:p w14:paraId="5E309E95" w14:textId="77777777" w:rsidR="00F0016E" w:rsidRPr="00506530" w:rsidRDefault="00F0016E" w:rsidP="00F0016E">
      <w:pPr>
        <w:numPr>
          <w:ilvl w:val="1"/>
          <w:numId w:val="1"/>
        </w:numPr>
        <w:ind w:left="450"/>
        <w:jc w:val="both"/>
        <w:rPr>
          <w:rFonts w:ascii="Times New Roman" w:hAnsi="Times New Roman"/>
          <w:snapToGrid w:val="0"/>
          <w:color w:val="000000"/>
          <w:szCs w:val="22"/>
          <w:lang w:val="es-GT"/>
        </w:rPr>
      </w:pPr>
      <w:r w:rsidRPr="00506530">
        <w:rPr>
          <w:rFonts w:ascii="Times New Roman" w:hAnsi="Times New Roman"/>
          <w:snapToGrid w:val="0"/>
          <w:color w:val="000000"/>
          <w:szCs w:val="22"/>
          <w:lang w:val="es-GT"/>
        </w:rPr>
        <w:t xml:space="preserve">El informe </w:t>
      </w:r>
      <w:r w:rsidRPr="00506530">
        <w:rPr>
          <w:rFonts w:ascii="Times New Roman" w:hAnsi="Times New Roman"/>
          <w:snapToGrid w:val="0"/>
          <w:color w:val="auto"/>
          <w:szCs w:val="22"/>
        </w:rPr>
        <w:t>tendrá</w:t>
      </w:r>
      <w:r w:rsidRPr="00506530">
        <w:rPr>
          <w:rFonts w:ascii="Times New Roman" w:hAnsi="Times New Roman"/>
          <w:snapToGrid w:val="0"/>
          <w:color w:val="000000"/>
          <w:szCs w:val="22"/>
          <w:lang w:val="es-GT"/>
        </w:rPr>
        <w:t xml:space="preserve"> un enfoque analítico e incluirá una presentación de las dificultades y problemas, así como de las soluciones. Dicho informe deberá ser elaborado entre ambas partes, a través del equipo técnico, coordinado por los puntos focales.</w:t>
      </w:r>
    </w:p>
    <w:p w14:paraId="0A40935F" w14:textId="77777777" w:rsidR="00F0016E" w:rsidRPr="00506530" w:rsidRDefault="00F0016E" w:rsidP="00F0016E">
      <w:pPr>
        <w:tabs>
          <w:tab w:val="left" w:pos="1425"/>
        </w:tabs>
        <w:ind w:left="360"/>
        <w:jc w:val="both"/>
        <w:rPr>
          <w:rFonts w:ascii="Times New Roman" w:hAnsi="Times New Roman"/>
          <w:snapToGrid w:val="0"/>
          <w:color w:val="auto"/>
          <w:szCs w:val="22"/>
          <w:lang w:val="es-GT"/>
        </w:rPr>
      </w:pPr>
    </w:p>
    <w:p w14:paraId="6A6263CC" w14:textId="77777777" w:rsidR="00F0016E" w:rsidRPr="00506530" w:rsidRDefault="00F0016E" w:rsidP="00F0016E">
      <w:pPr>
        <w:numPr>
          <w:ilvl w:val="0"/>
          <w:numId w:val="1"/>
        </w:numPr>
        <w:jc w:val="both"/>
        <w:rPr>
          <w:rFonts w:ascii="Times New Roman" w:hAnsi="Times New Roman"/>
          <w:b/>
          <w:snapToGrid w:val="0"/>
          <w:color w:val="auto"/>
          <w:szCs w:val="22"/>
        </w:rPr>
      </w:pPr>
      <w:r w:rsidRPr="00506530">
        <w:rPr>
          <w:rFonts w:ascii="Times New Roman" w:hAnsi="Times New Roman"/>
          <w:b/>
          <w:color w:val="auto"/>
          <w:szCs w:val="22"/>
        </w:rPr>
        <w:t>Garantías</w:t>
      </w:r>
    </w:p>
    <w:p w14:paraId="5B9B8377" w14:textId="77777777" w:rsidR="00F0016E" w:rsidRPr="00506530" w:rsidRDefault="00F0016E" w:rsidP="00F0016E">
      <w:pPr>
        <w:ind w:left="360"/>
        <w:jc w:val="both"/>
        <w:rPr>
          <w:rFonts w:ascii="Times New Roman" w:hAnsi="Times New Roman"/>
          <w:b/>
          <w:snapToGrid w:val="0"/>
          <w:color w:val="auto"/>
          <w:szCs w:val="22"/>
        </w:rPr>
      </w:pPr>
    </w:p>
    <w:p w14:paraId="780F5DD2" w14:textId="77777777" w:rsidR="00F0016E" w:rsidRPr="00506530" w:rsidRDefault="00F0016E" w:rsidP="00F0016E">
      <w:pPr>
        <w:numPr>
          <w:ilvl w:val="1"/>
          <w:numId w:val="1"/>
        </w:numPr>
        <w:ind w:left="450"/>
        <w:jc w:val="both"/>
        <w:rPr>
          <w:rFonts w:ascii="Times New Roman" w:hAnsi="Times New Roman"/>
          <w:bCs/>
          <w:snapToGrid w:val="0"/>
          <w:color w:val="auto"/>
          <w:szCs w:val="22"/>
        </w:rPr>
      </w:pPr>
      <w:r w:rsidRPr="00506530">
        <w:rPr>
          <w:rFonts w:ascii="Times New Roman" w:hAnsi="Times New Roman"/>
          <w:b/>
          <w:snapToGrid w:val="0"/>
          <w:color w:val="auto"/>
          <w:szCs w:val="22"/>
        </w:rPr>
        <w:t xml:space="preserve"> </w:t>
      </w:r>
      <w:r w:rsidRPr="00506530">
        <w:rPr>
          <w:rFonts w:ascii="Times New Roman" w:hAnsi="Times New Roman"/>
          <w:bCs/>
          <w:snapToGrid w:val="0"/>
          <w:color w:val="auto"/>
          <w:szCs w:val="22"/>
        </w:rPr>
        <w:t>Ambas partes garantizan que:</w:t>
      </w:r>
    </w:p>
    <w:p w14:paraId="008F2938" w14:textId="77777777" w:rsidR="00F0016E" w:rsidRPr="00506530" w:rsidRDefault="00F0016E" w:rsidP="00F0016E">
      <w:pPr>
        <w:ind w:left="720"/>
        <w:jc w:val="both"/>
        <w:rPr>
          <w:rFonts w:ascii="Times New Roman" w:hAnsi="Times New Roman"/>
          <w:b/>
          <w:snapToGrid w:val="0"/>
          <w:color w:val="auto"/>
          <w:szCs w:val="22"/>
        </w:rPr>
      </w:pPr>
    </w:p>
    <w:p w14:paraId="4EC88AFF" w14:textId="77777777" w:rsidR="00D271CF" w:rsidRDefault="00F0016E" w:rsidP="00AE7B7C">
      <w:pPr>
        <w:pStyle w:val="Sinespaciado"/>
        <w:numPr>
          <w:ilvl w:val="0"/>
          <w:numId w:val="9"/>
        </w:numPr>
        <w:ind w:left="851"/>
        <w:jc w:val="both"/>
        <w:rPr>
          <w:sz w:val="22"/>
          <w:szCs w:val="22"/>
          <w:lang w:val="es-PA"/>
        </w:rPr>
      </w:pPr>
      <w:r w:rsidRPr="00506530">
        <w:rPr>
          <w:sz w:val="22"/>
          <w:szCs w:val="22"/>
          <w:lang w:val="es-PA"/>
        </w:rPr>
        <w:t>Son financieramente sólidas y cuentan con la autorización, recursos humanos, equipos, pericia y experiencia adecuados y con las capacidades y aptitudes necesarias para cumplir de manera completa, satisfactoria y dentro del periodo estipulado, con las actividades del presente Acuerdo;</w:t>
      </w:r>
    </w:p>
    <w:p w14:paraId="0675A318" w14:textId="77777777" w:rsidR="00D271CF" w:rsidRDefault="00F0016E" w:rsidP="00AE7B7C">
      <w:pPr>
        <w:pStyle w:val="Sinespaciado"/>
        <w:numPr>
          <w:ilvl w:val="0"/>
          <w:numId w:val="9"/>
        </w:numPr>
        <w:ind w:left="851"/>
        <w:jc w:val="both"/>
        <w:rPr>
          <w:sz w:val="22"/>
          <w:szCs w:val="22"/>
          <w:lang w:val="es-PA"/>
        </w:rPr>
      </w:pPr>
      <w:r w:rsidRPr="00D271CF">
        <w:rPr>
          <w:sz w:val="22"/>
          <w:szCs w:val="22"/>
          <w:lang w:val="es-PA"/>
        </w:rPr>
        <w:t>Sin perjuicio de los privilegios e inmunidades de la OIM, reconocidos por el Convenio entre la República de Guatemala y la Organización Internacional para las Migraciones sobre Privilegios e Inmunidades del 16 de junio de 1992, aprobado por el Decreto Número 68-95 del Congreso de la República de Guatemala, se atendrán a todas las leyes, ordenanzas, normas y reglamentos vigentes al dar cumplimiento a sus obligaciones en el marco del presente Acuerdo;</w:t>
      </w:r>
    </w:p>
    <w:p w14:paraId="4C896E05" w14:textId="77777777" w:rsidR="00D271CF" w:rsidRDefault="00F0016E" w:rsidP="00AE7B7C">
      <w:pPr>
        <w:pStyle w:val="Sinespaciado"/>
        <w:numPr>
          <w:ilvl w:val="0"/>
          <w:numId w:val="9"/>
        </w:numPr>
        <w:ind w:left="851"/>
        <w:jc w:val="both"/>
        <w:rPr>
          <w:sz w:val="22"/>
          <w:szCs w:val="22"/>
          <w:lang w:val="es-PA"/>
        </w:rPr>
      </w:pPr>
      <w:r w:rsidRPr="00D271CF">
        <w:rPr>
          <w:sz w:val="22"/>
          <w:szCs w:val="22"/>
          <w:lang w:val="es-PA"/>
        </w:rPr>
        <w:t>Actuarán en aras del interés superior de cada una, en el marco del presente Acuerdo, y de acuerdo con los privilegios e inmunidades de la OIM, reconocidos por el Convenio entre la República de Guatemala y la Organización Internacional para las Migraciones sobre Privilegios e Inmunidades del 16 de junio de 1992, aprobado por el Decreto Número 68-95 del Congreso de la República de Guatemala;</w:t>
      </w:r>
    </w:p>
    <w:p w14:paraId="4D0E1FA0" w14:textId="7CAFD578" w:rsidR="00D271CF" w:rsidRDefault="00D271CF" w:rsidP="00AE7B7C">
      <w:pPr>
        <w:pStyle w:val="Sinespaciado"/>
        <w:numPr>
          <w:ilvl w:val="0"/>
          <w:numId w:val="9"/>
        </w:numPr>
        <w:ind w:left="851"/>
        <w:jc w:val="both"/>
        <w:rPr>
          <w:sz w:val="22"/>
          <w:szCs w:val="22"/>
          <w:lang w:val="es-PA"/>
        </w:rPr>
      </w:pPr>
      <w:r w:rsidRPr="00D271CF">
        <w:rPr>
          <w:sz w:val="22"/>
          <w:szCs w:val="22"/>
          <w:lang w:val="es-PA"/>
        </w:rPr>
        <w:t>Ninguno de sus funcionarios ha</w:t>
      </w:r>
      <w:r w:rsidR="00F0016E" w:rsidRPr="00D271CF">
        <w:rPr>
          <w:sz w:val="22"/>
          <w:szCs w:val="22"/>
          <w:lang w:val="es-PA"/>
        </w:rPr>
        <w:t xml:space="preserve"> recibido o recibirán, beneficio directo o indirecto alguno que pudiere surgir del presente Acuerdo o de las asignaciones que de él dimanen, ni tampoco oferta alguna de dichos beneficios directos o indirectos;</w:t>
      </w:r>
    </w:p>
    <w:p w14:paraId="51231372" w14:textId="77777777" w:rsidR="00D271CF" w:rsidRDefault="00F0016E" w:rsidP="00AE7B7C">
      <w:pPr>
        <w:pStyle w:val="Sinespaciado"/>
        <w:numPr>
          <w:ilvl w:val="0"/>
          <w:numId w:val="9"/>
        </w:numPr>
        <w:ind w:left="851"/>
        <w:jc w:val="both"/>
        <w:rPr>
          <w:sz w:val="22"/>
          <w:szCs w:val="22"/>
          <w:lang w:val="es-PA"/>
        </w:rPr>
      </w:pPr>
      <w:r w:rsidRPr="00D271CF">
        <w:rPr>
          <w:sz w:val="22"/>
          <w:szCs w:val="22"/>
          <w:lang w:val="es-PA"/>
        </w:rPr>
        <w:t>No han tergiversado, falseado u ocultado ningún hecho sustancial con miras al establecimiento del presente Acuerdo;</w:t>
      </w:r>
    </w:p>
    <w:p w14:paraId="6BC2AB7F" w14:textId="77777777" w:rsidR="00D271CF" w:rsidRDefault="00F0016E" w:rsidP="00AE7B7C">
      <w:pPr>
        <w:pStyle w:val="Sinespaciado"/>
        <w:numPr>
          <w:ilvl w:val="0"/>
          <w:numId w:val="9"/>
        </w:numPr>
        <w:ind w:left="851"/>
        <w:jc w:val="both"/>
        <w:rPr>
          <w:sz w:val="22"/>
          <w:szCs w:val="22"/>
          <w:lang w:val="es-PA"/>
        </w:rPr>
      </w:pPr>
      <w:r w:rsidRPr="00D271CF">
        <w:rPr>
          <w:sz w:val="22"/>
          <w:szCs w:val="22"/>
          <w:lang w:val="es-PA"/>
        </w:rPr>
        <w:t>El IGM, su personal o asociados, no han sido previamente inhabilitados por la OIM para tomar parte en acuerdos de la OIM;</w:t>
      </w:r>
    </w:p>
    <w:p w14:paraId="265E61BB" w14:textId="77777777" w:rsidR="00D271CF" w:rsidRDefault="00F0016E" w:rsidP="00AE7B7C">
      <w:pPr>
        <w:pStyle w:val="Sinespaciado"/>
        <w:numPr>
          <w:ilvl w:val="0"/>
          <w:numId w:val="9"/>
        </w:numPr>
        <w:ind w:left="851"/>
        <w:jc w:val="both"/>
        <w:rPr>
          <w:sz w:val="22"/>
          <w:szCs w:val="22"/>
          <w:lang w:val="es-PA"/>
        </w:rPr>
      </w:pPr>
      <w:r w:rsidRPr="00D271CF">
        <w:rPr>
          <w:sz w:val="22"/>
          <w:szCs w:val="22"/>
          <w:lang w:val="es-PA"/>
        </w:rPr>
        <w:t>El IGM ha contratado o contratará la cobertura de seguro apropiada para el periodo durante el cual las actividades se realicen en virtud del presente Acuerdo;</w:t>
      </w:r>
    </w:p>
    <w:p w14:paraId="6783BB22" w14:textId="77777777" w:rsidR="00D271CF" w:rsidRDefault="00F0016E" w:rsidP="00AE7B7C">
      <w:pPr>
        <w:pStyle w:val="Sinespaciado"/>
        <w:numPr>
          <w:ilvl w:val="0"/>
          <w:numId w:val="9"/>
        </w:numPr>
        <w:ind w:left="851"/>
        <w:jc w:val="both"/>
        <w:rPr>
          <w:sz w:val="22"/>
          <w:szCs w:val="22"/>
          <w:lang w:val="es-PA"/>
        </w:rPr>
      </w:pPr>
      <w:r w:rsidRPr="00D271CF">
        <w:rPr>
          <w:sz w:val="22"/>
          <w:szCs w:val="22"/>
          <w:lang w:val="es-PA"/>
        </w:rPr>
        <w:lastRenderedPageBreak/>
        <w:t>El IGM no aceptará, para su propio beneficio, ninguna comisión comercial, descuento o pago similar en relación con las actividades estipuladas en el presente Acuerdo o en el cumplimiento de sus obligaciones en virtud de este. El IGM se asegurará de que todos los subcontratistas, así como el personal y agentes de estos, no reciban remuneración alguna adicional de tal naturaleza.</w:t>
      </w:r>
    </w:p>
    <w:p w14:paraId="683C6808" w14:textId="77777777" w:rsidR="00D271CF" w:rsidRDefault="00F0016E" w:rsidP="00AE7B7C">
      <w:pPr>
        <w:pStyle w:val="Sinespaciado"/>
        <w:numPr>
          <w:ilvl w:val="0"/>
          <w:numId w:val="9"/>
        </w:numPr>
        <w:ind w:left="851"/>
        <w:jc w:val="both"/>
        <w:rPr>
          <w:sz w:val="22"/>
          <w:szCs w:val="22"/>
          <w:lang w:val="es-PA"/>
        </w:rPr>
      </w:pPr>
      <w:r w:rsidRPr="00D271CF">
        <w:rPr>
          <w:sz w:val="22"/>
          <w:szCs w:val="22"/>
          <w:lang w:val="es-PA"/>
        </w:rPr>
        <w:t xml:space="preserve">Respetará el estatus legal, los privilegios, y las inmunidades de la OIM como organización intergubernamental, </w:t>
      </w:r>
      <w:bookmarkStart w:id="2" w:name="_Hlk182277638"/>
      <w:r w:rsidRPr="00D271CF">
        <w:rPr>
          <w:sz w:val="22"/>
          <w:szCs w:val="22"/>
          <w:lang w:val="es-PA"/>
        </w:rPr>
        <w:t>reconocidos por el Convenio entre la República de Guatemala y la Organización Internacional para las Migraciones sobre Privilegios e Inmunidades del 16 de junio de 1992, aprobado por el Decreto Número 68-95 del Congreso de la República de Guatemala</w:t>
      </w:r>
      <w:bookmarkEnd w:id="2"/>
      <w:r w:rsidRPr="00D271CF">
        <w:rPr>
          <w:sz w:val="22"/>
          <w:szCs w:val="22"/>
          <w:lang w:val="es-PA"/>
        </w:rPr>
        <w:t>, tales como la inviolabilidad de los documentos y el archivo donde quiera que se encuentre, la exención de impuestos, la inmunidad frente a procesos legales o la jurisdicción nacional. En caso de que el IGM tenga conocimiento de cualquier situación en la que no se respeten plenamente el estatus legal y los privilegios o las inmunidades de la OIM, deberá informar inmediatamente a la OIM.</w:t>
      </w:r>
    </w:p>
    <w:p w14:paraId="07D9397A" w14:textId="77777777" w:rsidR="00D271CF" w:rsidRDefault="00F0016E" w:rsidP="00AE7B7C">
      <w:pPr>
        <w:pStyle w:val="Sinespaciado"/>
        <w:numPr>
          <w:ilvl w:val="0"/>
          <w:numId w:val="9"/>
        </w:numPr>
        <w:ind w:left="851"/>
        <w:jc w:val="both"/>
        <w:rPr>
          <w:sz w:val="22"/>
          <w:szCs w:val="22"/>
          <w:lang w:val="es-PA"/>
        </w:rPr>
      </w:pPr>
      <w:r w:rsidRPr="00D271CF">
        <w:rPr>
          <w:sz w:val="22"/>
          <w:szCs w:val="22"/>
          <w:lang w:val="es-PA"/>
        </w:rPr>
        <w:t>El IGM no está incluido en la Lista Consolidada de Sanciones del Consejo de Seguridad de las Naciones Unidas más reciente ni está sujeto a sanciones u otras suspensiones temporales. El IGM le informará a la OIM si queda sujeto a alguna sanción o suspensión temporal durante la vigencia de este Acuerdo.</w:t>
      </w:r>
    </w:p>
    <w:p w14:paraId="07A81C7A" w14:textId="74554F89" w:rsidR="00F0016E" w:rsidRPr="00D271CF" w:rsidRDefault="00F0016E" w:rsidP="00AE7B7C">
      <w:pPr>
        <w:pStyle w:val="Sinespaciado"/>
        <w:numPr>
          <w:ilvl w:val="0"/>
          <w:numId w:val="9"/>
        </w:numPr>
        <w:ind w:left="851"/>
        <w:jc w:val="both"/>
        <w:rPr>
          <w:sz w:val="22"/>
          <w:szCs w:val="22"/>
          <w:lang w:val="es-PA"/>
        </w:rPr>
      </w:pPr>
      <w:r w:rsidRPr="00D271CF">
        <w:rPr>
          <w:sz w:val="22"/>
          <w:szCs w:val="22"/>
          <w:lang w:val="es-PA"/>
        </w:rPr>
        <w:t>No deben emplear, proporcionar recursos, apoyar, contratar o tratar de cualquiera otra manera con ninguna persona, entidad u otro grupo asociado con el terrorismo según la última lista consolidada de Sanciones del Consejo de Seguridad de las Naciones Unidas (https://www.un.org/securitycouncil/content/un-sc-consolidated-list) y todas las demás leyes antiterrorismo aplicables. Si, durante la vigencia de este Acuerdo, el IGM determina que existen alegatos creíbles que, como resultado de las actividades realizadas de conformidad con este acuerdo, se ha proporcionado apoyo o asistencia a personas o entidades asociadas con el terrorismo, el IGM informará a la OIM quien, en consulta con el donante, determinará una respuesta adecuada. El IGM asegurará que este requisito se incluya en todos los subcontratos.</w:t>
      </w:r>
    </w:p>
    <w:p w14:paraId="57592672" w14:textId="77777777" w:rsidR="00F0016E" w:rsidRPr="00506530" w:rsidRDefault="00F0016E" w:rsidP="00F0016E">
      <w:pPr>
        <w:pStyle w:val="Sinespaciado"/>
        <w:jc w:val="both"/>
        <w:rPr>
          <w:sz w:val="22"/>
          <w:szCs w:val="22"/>
          <w:lang w:val="es-PA"/>
        </w:rPr>
      </w:pPr>
    </w:p>
    <w:p w14:paraId="1224D11D" w14:textId="77777777" w:rsidR="00F0016E" w:rsidRPr="00506530" w:rsidRDefault="00F0016E" w:rsidP="00F0016E">
      <w:pPr>
        <w:numPr>
          <w:ilvl w:val="1"/>
          <w:numId w:val="1"/>
        </w:numPr>
        <w:ind w:left="450"/>
        <w:jc w:val="both"/>
        <w:rPr>
          <w:rFonts w:ascii="Times New Roman" w:hAnsi="Times New Roman"/>
          <w:color w:val="auto"/>
          <w:szCs w:val="22"/>
          <w:lang w:val="es-PA"/>
        </w:rPr>
      </w:pPr>
      <w:r w:rsidRPr="00506530">
        <w:rPr>
          <w:rFonts w:ascii="Times New Roman" w:hAnsi="Times New Roman"/>
          <w:color w:val="auto"/>
          <w:szCs w:val="22"/>
          <w:lang w:val="es-PA"/>
        </w:rPr>
        <w:t xml:space="preserve">Ambas partes </w:t>
      </w:r>
      <w:r w:rsidRPr="00506530">
        <w:rPr>
          <w:rFonts w:ascii="Times New Roman" w:hAnsi="Times New Roman"/>
          <w:color w:val="auto"/>
          <w:szCs w:val="22"/>
        </w:rPr>
        <w:t>garantizan</w:t>
      </w:r>
      <w:r w:rsidRPr="00506530">
        <w:rPr>
          <w:rFonts w:ascii="Times New Roman" w:hAnsi="Times New Roman"/>
          <w:color w:val="auto"/>
          <w:szCs w:val="22"/>
          <w:lang w:val="es-PA"/>
        </w:rPr>
        <w:t xml:space="preserve"> que cumplirán con los más altos estándares éticos en la ejecución de este Acuerdo, lo que incluye no involucrarse en ninguna práctica fraudulenta, corrupta, discriminatoria o de explotación o ninguna práctica que sea inconsistente con los derechos establecidos en la Convención sobre el Derechos del niño. El IGM informará inmediatamente a la OIM de cualquier sospecha de que la siguiente práctica haya ocurrido o exista:</w:t>
      </w:r>
    </w:p>
    <w:p w14:paraId="2976F604" w14:textId="77777777" w:rsidR="00F0016E" w:rsidRPr="00506530" w:rsidRDefault="00F0016E" w:rsidP="00F0016E">
      <w:pPr>
        <w:pStyle w:val="Textoindependiente"/>
        <w:tabs>
          <w:tab w:val="left" w:pos="900"/>
        </w:tabs>
        <w:ind w:left="360"/>
        <w:jc w:val="both"/>
        <w:rPr>
          <w:rFonts w:ascii="Times New Roman" w:hAnsi="Times New Roman"/>
          <w:color w:val="auto"/>
          <w:szCs w:val="22"/>
          <w:lang w:val="es-PA"/>
        </w:rPr>
      </w:pPr>
    </w:p>
    <w:p w14:paraId="68FEC2BB" w14:textId="0AFAD935" w:rsidR="00164326" w:rsidRDefault="00164326" w:rsidP="00164326">
      <w:pPr>
        <w:pStyle w:val="Sinespaciado"/>
        <w:numPr>
          <w:ilvl w:val="0"/>
          <w:numId w:val="10"/>
        </w:numPr>
        <w:ind w:left="851"/>
        <w:jc w:val="both"/>
        <w:rPr>
          <w:sz w:val="22"/>
          <w:szCs w:val="22"/>
          <w:lang w:val="es-PA"/>
        </w:rPr>
      </w:pPr>
      <w:r>
        <w:rPr>
          <w:sz w:val="22"/>
          <w:szCs w:val="22"/>
          <w:lang w:val="es-PA"/>
        </w:rPr>
        <w:t>U</w:t>
      </w:r>
      <w:r w:rsidR="00F0016E" w:rsidRPr="00506530">
        <w:rPr>
          <w:sz w:val="22"/>
          <w:szCs w:val="22"/>
          <w:lang w:val="es-PA"/>
        </w:rPr>
        <w:t>na práctica corrupta, definida como la oferta, entrega, recepción o solicitud, directa o indirectamente, de cualquier cosa de valor para influir en la acción de la OIM en el proceso de adquisición o en la ejecución del Acuerdo;</w:t>
      </w:r>
    </w:p>
    <w:p w14:paraId="1823488E" w14:textId="44D43714" w:rsidR="00164326" w:rsidRDefault="00164326" w:rsidP="00164326">
      <w:pPr>
        <w:pStyle w:val="Sinespaciado"/>
        <w:numPr>
          <w:ilvl w:val="0"/>
          <w:numId w:val="10"/>
        </w:numPr>
        <w:ind w:left="851"/>
        <w:jc w:val="both"/>
        <w:rPr>
          <w:sz w:val="22"/>
          <w:szCs w:val="22"/>
          <w:lang w:val="es-PA"/>
        </w:rPr>
      </w:pPr>
      <w:r>
        <w:rPr>
          <w:sz w:val="22"/>
          <w:szCs w:val="22"/>
          <w:lang w:val="es-PA"/>
        </w:rPr>
        <w:t>U</w:t>
      </w:r>
      <w:r w:rsidR="00F0016E" w:rsidRPr="00164326">
        <w:rPr>
          <w:sz w:val="22"/>
          <w:szCs w:val="22"/>
          <w:lang w:val="es-PA"/>
        </w:rPr>
        <w:t>na práctica fraudulenta, definida como cualquier acto u omisión, incluida una tergiversación, que con conocimiento o imprudencia engaña o intenta inducir a error a la OIM en el proceso de adquisición o la ejecución de un contrato, para obtener una ganancia financiera u otro beneficio o para evitar una obligación;</w:t>
      </w:r>
    </w:p>
    <w:p w14:paraId="46E91260" w14:textId="77777777" w:rsidR="00655190" w:rsidRDefault="00164326" w:rsidP="00655190">
      <w:pPr>
        <w:pStyle w:val="Sinespaciado"/>
        <w:numPr>
          <w:ilvl w:val="0"/>
          <w:numId w:val="10"/>
        </w:numPr>
        <w:ind w:left="851"/>
        <w:jc w:val="both"/>
        <w:rPr>
          <w:sz w:val="22"/>
          <w:szCs w:val="22"/>
          <w:lang w:val="es-PA"/>
        </w:rPr>
      </w:pPr>
      <w:r>
        <w:rPr>
          <w:sz w:val="22"/>
          <w:szCs w:val="22"/>
          <w:lang w:val="es-PA"/>
        </w:rPr>
        <w:t>U</w:t>
      </w:r>
      <w:r w:rsidR="00F0016E" w:rsidRPr="00164326">
        <w:rPr>
          <w:sz w:val="22"/>
          <w:szCs w:val="22"/>
          <w:lang w:val="es-PA"/>
        </w:rPr>
        <w:t>na práctica colusoria, definida como un acuerdo no divulgado entre dos o más postores diseñado para alterar artificialmente los resultados del proceso de licitación para obtener una ganancia financiera u otro beneficio;</w:t>
      </w:r>
    </w:p>
    <w:p w14:paraId="686601BC" w14:textId="77777777" w:rsidR="00655190" w:rsidRDefault="00655190" w:rsidP="00655190">
      <w:pPr>
        <w:pStyle w:val="Sinespaciado"/>
        <w:numPr>
          <w:ilvl w:val="0"/>
          <w:numId w:val="10"/>
        </w:numPr>
        <w:ind w:left="851"/>
        <w:jc w:val="both"/>
        <w:rPr>
          <w:sz w:val="22"/>
          <w:szCs w:val="22"/>
          <w:lang w:val="es-PA"/>
        </w:rPr>
      </w:pPr>
      <w:r w:rsidRPr="00655190">
        <w:rPr>
          <w:sz w:val="22"/>
          <w:szCs w:val="22"/>
          <w:lang w:val="es-PA"/>
        </w:rPr>
        <w:t>U</w:t>
      </w:r>
      <w:r w:rsidR="00F0016E" w:rsidRPr="00655190">
        <w:rPr>
          <w:sz w:val="22"/>
          <w:szCs w:val="22"/>
          <w:lang w:val="es-PA"/>
        </w:rPr>
        <w:t>na práctica coercitiva, definida como perjudicar o dañar, o amenazar con perjudicar o dañar, directa o indirectamente, a cualquier participante en el proceso de licitación para influir indebidamente en sus actividades o afectar la ejecución de un contrato.</w:t>
      </w:r>
    </w:p>
    <w:p w14:paraId="54C815AC" w14:textId="77777777" w:rsidR="001E3E3C" w:rsidRDefault="00655190" w:rsidP="001E3E3C">
      <w:pPr>
        <w:pStyle w:val="Sinespaciado"/>
        <w:numPr>
          <w:ilvl w:val="0"/>
          <w:numId w:val="10"/>
        </w:numPr>
        <w:ind w:left="851"/>
        <w:jc w:val="both"/>
        <w:rPr>
          <w:sz w:val="22"/>
          <w:szCs w:val="22"/>
          <w:lang w:val="es-PA"/>
        </w:rPr>
      </w:pPr>
      <w:r>
        <w:rPr>
          <w:sz w:val="22"/>
          <w:szCs w:val="22"/>
          <w:lang w:val="es-PA"/>
        </w:rPr>
        <w:t>U</w:t>
      </w:r>
      <w:r w:rsidR="00F0016E" w:rsidRPr="00655190">
        <w:rPr>
          <w:sz w:val="22"/>
          <w:szCs w:val="22"/>
          <w:lang w:val="es-PA"/>
        </w:rPr>
        <w:t>na práctica obstructiva, definida como (i) deliberadamente destruir, falsificar, alterar u ocultar material probatorio a las investigaciones de la OIM, o hacer declaraciones falsas a los investigadores de la OIM para impedir materialmente una investigación debidamente autorizada sobre denuncias de fraude, corrupción, prácticas colusorias, coercitivas o no éticas; y / o amenazar, acosar o intimidar a cualquiera de las partes para que presente su conocimiento de asuntos relevantes para la investigación o para llevar a cabo la investigación; o (</w:t>
      </w:r>
      <w:proofErr w:type="spellStart"/>
      <w:r w:rsidR="00F0016E" w:rsidRPr="00655190">
        <w:rPr>
          <w:sz w:val="22"/>
          <w:szCs w:val="22"/>
          <w:lang w:val="es-PA"/>
        </w:rPr>
        <w:t>ii</w:t>
      </w:r>
      <w:proofErr w:type="spellEnd"/>
      <w:r w:rsidR="00F0016E" w:rsidRPr="00655190">
        <w:rPr>
          <w:sz w:val="22"/>
          <w:szCs w:val="22"/>
          <w:lang w:val="es-PA"/>
        </w:rPr>
        <w:t xml:space="preserve">) actos </w:t>
      </w:r>
      <w:r w:rsidR="00F0016E" w:rsidRPr="00655190">
        <w:rPr>
          <w:sz w:val="22"/>
          <w:szCs w:val="22"/>
          <w:lang w:val="es-PA"/>
        </w:rPr>
        <w:lastRenderedPageBreak/>
        <w:t>destinados a impedir materialmente el ejercicio de los derechos contractuales de acceso de la OIM a la información.</w:t>
      </w:r>
    </w:p>
    <w:p w14:paraId="6A17A33B" w14:textId="26474CAA" w:rsidR="00F0016E" w:rsidRPr="001E3E3C" w:rsidRDefault="001E3E3C" w:rsidP="001E3E3C">
      <w:pPr>
        <w:pStyle w:val="Sinespaciado"/>
        <w:numPr>
          <w:ilvl w:val="0"/>
          <w:numId w:val="10"/>
        </w:numPr>
        <w:ind w:left="851"/>
        <w:jc w:val="both"/>
        <w:rPr>
          <w:sz w:val="22"/>
          <w:szCs w:val="22"/>
          <w:lang w:val="es-PA"/>
        </w:rPr>
      </w:pPr>
      <w:r>
        <w:rPr>
          <w:sz w:val="22"/>
          <w:szCs w:val="22"/>
          <w:lang w:val="es-PA"/>
        </w:rPr>
        <w:t>C</w:t>
      </w:r>
      <w:r w:rsidR="00F0016E" w:rsidRPr="001E3E3C">
        <w:rPr>
          <w:sz w:val="22"/>
          <w:szCs w:val="22"/>
          <w:lang w:val="es-PA"/>
        </w:rPr>
        <w:t>ualquiera otra práctica no ética contraria a los principios de eficiencia y economía, igualdad de oportunidades y competencia abierta, transparencia en el proceso y documentación adecuada, normas éticas más estrictas en todas las actividades de adquisición.</w:t>
      </w:r>
    </w:p>
    <w:p w14:paraId="27DDEC9F" w14:textId="77777777" w:rsidR="00F0016E" w:rsidRPr="00506530" w:rsidRDefault="00F0016E" w:rsidP="00F0016E">
      <w:pPr>
        <w:pStyle w:val="Sinespaciado"/>
        <w:jc w:val="both"/>
        <w:rPr>
          <w:sz w:val="22"/>
          <w:szCs w:val="22"/>
          <w:lang w:val="es-PA"/>
        </w:rPr>
      </w:pPr>
    </w:p>
    <w:p w14:paraId="07CB4F9B" w14:textId="77777777" w:rsidR="00F0016E" w:rsidRPr="00506530" w:rsidRDefault="00F0016E" w:rsidP="00F0016E">
      <w:pPr>
        <w:numPr>
          <w:ilvl w:val="1"/>
          <w:numId w:val="1"/>
        </w:numPr>
        <w:ind w:left="450"/>
        <w:jc w:val="both"/>
        <w:rPr>
          <w:rFonts w:ascii="Times New Roman" w:hAnsi="Times New Roman"/>
          <w:color w:val="auto"/>
          <w:szCs w:val="22"/>
          <w:lang w:val="es-PA"/>
        </w:rPr>
      </w:pPr>
      <w:r w:rsidRPr="00506530">
        <w:rPr>
          <w:rFonts w:ascii="Times New Roman" w:hAnsi="Times New Roman"/>
          <w:color w:val="auto"/>
          <w:szCs w:val="22"/>
          <w:lang w:val="es-PA"/>
        </w:rPr>
        <w:t xml:space="preserve">Ambas partes </w:t>
      </w:r>
      <w:r w:rsidRPr="00506530">
        <w:rPr>
          <w:rFonts w:ascii="Times New Roman" w:hAnsi="Times New Roman"/>
          <w:snapToGrid w:val="0"/>
          <w:color w:val="auto"/>
          <w:szCs w:val="22"/>
        </w:rPr>
        <w:t>garantizan</w:t>
      </w:r>
      <w:r w:rsidRPr="00506530">
        <w:rPr>
          <w:rFonts w:ascii="Times New Roman" w:hAnsi="Times New Roman"/>
          <w:color w:val="auto"/>
          <w:szCs w:val="22"/>
          <w:lang w:val="es-PA"/>
        </w:rPr>
        <w:t xml:space="preserve"> </w:t>
      </w:r>
      <w:r w:rsidRPr="00506530">
        <w:rPr>
          <w:rFonts w:ascii="Times New Roman" w:hAnsi="Times New Roman"/>
          <w:color w:val="auto"/>
          <w:szCs w:val="22"/>
        </w:rPr>
        <w:t>asimismo</w:t>
      </w:r>
      <w:r w:rsidRPr="00506530">
        <w:rPr>
          <w:rFonts w:ascii="Times New Roman" w:hAnsi="Times New Roman"/>
          <w:color w:val="auto"/>
          <w:szCs w:val="22"/>
          <w:lang w:val="es-PA"/>
        </w:rPr>
        <w:t xml:space="preserve"> que:</w:t>
      </w:r>
    </w:p>
    <w:p w14:paraId="1DB9977F" w14:textId="77777777" w:rsidR="00F0016E" w:rsidRPr="00506530" w:rsidRDefault="00F0016E" w:rsidP="00F0016E">
      <w:pPr>
        <w:pStyle w:val="Sinespaciado"/>
        <w:jc w:val="both"/>
        <w:rPr>
          <w:sz w:val="22"/>
          <w:szCs w:val="22"/>
          <w:lang w:val="es-PA"/>
        </w:rPr>
      </w:pPr>
    </w:p>
    <w:p w14:paraId="4027E3DE" w14:textId="77777777" w:rsidR="00055B95" w:rsidRDefault="00F0016E" w:rsidP="00055B95">
      <w:pPr>
        <w:pStyle w:val="Sinespaciado"/>
        <w:numPr>
          <w:ilvl w:val="0"/>
          <w:numId w:val="11"/>
        </w:numPr>
        <w:ind w:left="851"/>
        <w:jc w:val="both"/>
        <w:rPr>
          <w:sz w:val="22"/>
          <w:szCs w:val="22"/>
          <w:lang w:val="es-PA"/>
        </w:rPr>
      </w:pPr>
      <w:r w:rsidRPr="00055B95">
        <w:rPr>
          <w:sz w:val="22"/>
          <w:szCs w:val="22"/>
          <w:lang w:val="es-PA"/>
        </w:rPr>
        <w:t>Sin perjuicio de los privilegios e inmunidades de la OIM, reconocidos por el Convenio entre la República de Guatemala y la Organización Internacional para las Migraciones sobre Privilegios e Inmunidades del 16 de junio de 1992, aprobado por el Decreto Número 68-95 del Congreso de la República de Guatemala las Partes adoptarán todas las medidas pertinentes para prohibir y prevenir la explotación y el abuso sexual, así como cualquier intento o amenaza de cometerlos, por parte de sus empleados o de cualquier otra persona contratada o bajo su supervisión para que lleve a cabo las actividades previstas en el marco del presente Acuerdo (“otro personal”). A efectos del presente Acuerdo, se entenderá que la explotación y el abuso sexuales comprenden:</w:t>
      </w:r>
    </w:p>
    <w:p w14:paraId="7F4E6FD5" w14:textId="3E1E02A9" w:rsidR="00055B95" w:rsidRDefault="00F0016E" w:rsidP="00055B95">
      <w:pPr>
        <w:pStyle w:val="Sinespaciado"/>
        <w:numPr>
          <w:ilvl w:val="0"/>
          <w:numId w:val="12"/>
        </w:numPr>
        <w:ind w:left="1276"/>
        <w:jc w:val="both"/>
        <w:rPr>
          <w:sz w:val="22"/>
          <w:szCs w:val="22"/>
          <w:lang w:val="es-PA"/>
        </w:rPr>
      </w:pPr>
      <w:r w:rsidRPr="00055B95">
        <w:rPr>
          <w:sz w:val="22"/>
          <w:szCs w:val="22"/>
          <w:lang w:val="es-PA"/>
        </w:rPr>
        <w:t>La concesión de dinero, bienes, servicios, tratos preferenciales, oportunidades de empleo u otras ventajas a cambio de favores o actividades sexuales, incluidos los tratos humillantes o degradantes de naturaleza sexual; el abuso de una situación de vulnerabilidad, una relación de poder desigual o una relación de confianza con fines sexuales, y el contacto físico de carácter sexual impuesto por la fuerza o en condiciones de desigualdad o de coerción.</w:t>
      </w:r>
    </w:p>
    <w:p w14:paraId="7BDC868A" w14:textId="35B5B17B" w:rsidR="00055B95" w:rsidRDefault="00F0016E" w:rsidP="00055B95">
      <w:pPr>
        <w:pStyle w:val="Sinespaciado"/>
        <w:numPr>
          <w:ilvl w:val="0"/>
          <w:numId w:val="12"/>
        </w:numPr>
        <w:ind w:left="1276"/>
        <w:jc w:val="both"/>
        <w:rPr>
          <w:sz w:val="22"/>
          <w:szCs w:val="22"/>
          <w:lang w:val="es-PA"/>
        </w:rPr>
      </w:pPr>
      <w:r w:rsidRPr="00055B95">
        <w:rPr>
          <w:sz w:val="22"/>
          <w:szCs w:val="22"/>
          <w:lang w:val="es-PA"/>
        </w:rPr>
        <w:t>Toda actividad sexual mantenida con una persona menor de 18 años (“menor”), excepto en el caso de que el empleado o miembro de personal concernido esté casado legalmente con el menor, y este último tenga la mayoría de edad o la edad de libre consentimiento establecida tanto en su país de ciudadanía como en el país de ciudadanía del empleado o miembro del personal concernido.</w:t>
      </w:r>
    </w:p>
    <w:p w14:paraId="7DD5D13A" w14:textId="77777777" w:rsidR="00055B95" w:rsidRDefault="00055B95" w:rsidP="00055B95">
      <w:pPr>
        <w:pStyle w:val="Sinespaciado"/>
        <w:ind w:left="900"/>
        <w:jc w:val="both"/>
        <w:rPr>
          <w:sz w:val="22"/>
          <w:szCs w:val="22"/>
          <w:lang w:val="es-PA"/>
        </w:rPr>
      </w:pPr>
    </w:p>
    <w:p w14:paraId="36D06308" w14:textId="77777777" w:rsidR="00055B95" w:rsidRDefault="00F0016E" w:rsidP="00055B95">
      <w:pPr>
        <w:pStyle w:val="Sinespaciado"/>
        <w:numPr>
          <w:ilvl w:val="0"/>
          <w:numId w:val="11"/>
        </w:numPr>
        <w:ind w:left="851"/>
        <w:jc w:val="both"/>
        <w:rPr>
          <w:sz w:val="22"/>
          <w:szCs w:val="22"/>
          <w:lang w:val="es-PA"/>
        </w:rPr>
      </w:pPr>
      <w:r w:rsidRPr="00055B95">
        <w:rPr>
          <w:sz w:val="22"/>
          <w:szCs w:val="22"/>
          <w:lang w:val="es-PA"/>
        </w:rPr>
        <w:t>Desaconsejarán firmemente a sus empleados y demás miembros del personal cualquier relación sexual con los beneficiarios.</w:t>
      </w:r>
    </w:p>
    <w:p w14:paraId="44ACB654" w14:textId="77777777" w:rsidR="00055B95" w:rsidRDefault="00F0016E" w:rsidP="00055B95">
      <w:pPr>
        <w:pStyle w:val="Sinespaciado"/>
        <w:numPr>
          <w:ilvl w:val="0"/>
          <w:numId w:val="11"/>
        </w:numPr>
        <w:ind w:left="851"/>
        <w:jc w:val="both"/>
        <w:rPr>
          <w:sz w:val="22"/>
          <w:szCs w:val="22"/>
          <w:lang w:val="es-PA"/>
        </w:rPr>
      </w:pPr>
      <w:r w:rsidRPr="00055B95">
        <w:rPr>
          <w:sz w:val="22"/>
          <w:szCs w:val="22"/>
          <w:lang w:val="es-PA"/>
        </w:rPr>
        <w:t>Notificarán oportunamente a la otra Parte las denuncias o sospechas de eventuales actos de explotación o abuso sexuales, e investigarán y adoptarán las medidas correctivas pertinentes, de conformidad con la normativa aplicable, incluida la imposición de medidas disciplinarias a las personas responsables de los actos de explotación o abusos sexuales.</w:t>
      </w:r>
    </w:p>
    <w:p w14:paraId="6F25E89A" w14:textId="77777777" w:rsidR="00055B95" w:rsidRDefault="00F0016E" w:rsidP="00055B95">
      <w:pPr>
        <w:pStyle w:val="Sinespaciado"/>
        <w:numPr>
          <w:ilvl w:val="0"/>
          <w:numId w:val="11"/>
        </w:numPr>
        <w:ind w:left="851"/>
        <w:jc w:val="both"/>
        <w:rPr>
          <w:sz w:val="22"/>
          <w:szCs w:val="22"/>
          <w:lang w:val="es-PA"/>
        </w:rPr>
      </w:pPr>
      <w:r w:rsidRPr="00055B95">
        <w:rPr>
          <w:sz w:val="22"/>
          <w:szCs w:val="22"/>
          <w:lang w:val="es-PA"/>
        </w:rPr>
        <w:t xml:space="preserve">Garantizará la incorporación de las disposiciones relativas a los actos de explotación o abusos sexuales en todos los </w:t>
      </w:r>
      <w:r w:rsidR="004B342E" w:rsidRPr="00055B95">
        <w:rPr>
          <w:sz w:val="22"/>
          <w:szCs w:val="22"/>
          <w:lang w:val="es-PA"/>
        </w:rPr>
        <w:t xml:space="preserve">subcontratos. </w:t>
      </w:r>
    </w:p>
    <w:p w14:paraId="7F4348EC" w14:textId="742CA0E8" w:rsidR="00F0016E" w:rsidRPr="00055B95" w:rsidRDefault="00F0016E" w:rsidP="00055B95">
      <w:pPr>
        <w:pStyle w:val="Sinespaciado"/>
        <w:numPr>
          <w:ilvl w:val="0"/>
          <w:numId w:val="11"/>
        </w:numPr>
        <w:ind w:left="851"/>
        <w:jc w:val="both"/>
        <w:rPr>
          <w:sz w:val="22"/>
          <w:szCs w:val="22"/>
          <w:lang w:val="es-PA"/>
        </w:rPr>
      </w:pPr>
      <w:r w:rsidRPr="00055B95">
        <w:rPr>
          <w:sz w:val="22"/>
          <w:szCs w:val="22"/>
          <w:lang w:val="es-PA"/>
        </w:rPr>
        <w:t>Respetarán los compromisos antedichos en todo momento.</w:t>
      </w:r>
    </w:p>
    <w:p w14:paraId="535179CC" w14:textId="77777777" w:rsidR="00F0016E" w:rsidRPr="00506530" w:rsidRDefault="00F0016E" w:rsidP="00F0016E">
      <w:pPr>
        <w:pStyle w:val="Sinespaciado"/>
        <w:jc w:val="both"/>
        <w:rPr>
          <w:sz w:val="22"/>
          <w:szCs w:val="22"/>
          <w:lang w:val="es-PA"/>
        </w:rPr>
      </w:pPr>
    </w:p>
    <w:p w14:paraId="77BA6EE2" w14:textId="77777777" w:rsidR="00F0016E" w:rsidRPr="00506530" w:rsidRDefault="00F0016E" w:rsidP="00F0016E">
      <w:pPr>
        <w:numPr>
          <w:ilvl w:val="1"/>
          <w:numId w:val="1"/>
        </w:numPr>
        <w:ind w:left="450"/>
        <w:jc w:val="both"/>
        <w:rPr>
          <w:rFonts w:ascii="Times New Roman" w:hAnsi="Times New Roman"/>
          <w:color w:val="auto"/>
          <w:szCs w:val="22"/>
          <w:lang w:val="es-PA"/>
        </w:rPr>
      </w:pPr>
      <w:r w:rsidRPr="00506530">
        <w:rPr>
          <w:rFonts w:ascii="Times New Roman" w:hAnsi="Times New Roman"/>
          <w:color w:val="auto"/>
          <w:szCs w:val="22"/>
          <w:lang w:val="es-PA"/>
        </w:rPr>
        <w:t xml:space="preserve">Ambas partes </w:t>
      </w:r>
      <w:r w:rsidRPr="00506530">
        <w:rPr>
          <w:rFonts w:ascii="Times New Roman" w:hAnsi="Times New Roman"/>
          <w:bCs/>
          <w:snapToGrid w:val="0"/>
          <w:color w:val="auto"/>
          <w:szCs w:val="22"/>
        </w:rPr>
        <w:t>reconocen</w:t>
      </w:r>
      <w:r w:rsidRPr="00506530">
        <w:rPr>
          <w:rFonts w:ascii="Times New Roman" w:hAnsi="Times New Roman"/>
          <w:color w:val="auto"/>
          <w:szCs w:val="22"/>
          <w:lang w:val="es-PA"/>
        </w:rPr>
        <w:t xml:space="preserve"> y aceptan </w:t>
      </w:r>
      <w:r w:rsidRPr="00506530">
        <w:rPr>
          <w:rFonts w:ascii="Times New Roman" w:hAnsi="Times New Roman"/>
          <w:color w:val="auto"/>
          <w:szCs w:val="22"/>
        </w:rPr>
        <w:t>expresamente</w:t>
      </w:r>
      <w:r w:rsidRPr="00506530">
        <w:rPr>
          <w:rFonts w:ascii="Times New Roman" w:hAnsi="Times New Roman"/>
          <w:color w:val="auto"/>
          <w:szCs w:val="22"/>
          <w:lang w:val="es-PA"/>
        </w:rPr>
        <w:t xml:space="preserve"> que el incumplimiento de cualquier disposición contenida esta cláusula constituye un incumplimiento material de este Acuerdo y dará derecho a las Parte afectada a rescindir este Acuerdo inmediatamente mediante notificación por escrito sin responsabilidad.</w:t>
      </w:r>
    </w:p>
    <w:p w14:paraId="463CC3E5" w14:textId="77777777" w:rsidR="00F0016E" w:rsidRPr="00506530" w:rsidRDefault="00F0016E" w:rsidP="00F0016E">
      <w:pPr>
        <w:tabs>
          <w:tab w:val="left" w:pos="360"/>
        </w:tabs>
        <w:jc w:val="both"/>
        <w:rPr>
          <w:rFonts w:ascii="Times New Roman" w:hAnsi="Times New Roman"/>
          <w:color w:val="auto"/>
          <w:szCs w:val="22"/>
          <w:lang w:val="es-PA"/>
        </w:rPr>
      </w:pPr>
    </w:p>
    <w:p w14:paraId="24340255" w14:textId="77777777" w:rsidR="00F0016E" w:rsidRPr="00506530" w:rsidRDefault="00F0016E" w:rsidP="00F0016E">
      <w:pPr>
        <w:numPr>
          <w:ilvl w:val="0"/>
          <w:numId w:val="1"/>
        </w:numPr>
        <w:tabs>
          <w:tab w:val="left" w:pos="360"/>
        </w:tabs>
        <w:jc w:val="both"/>
        <w:rPr>
          <w:rFonts w:ascii="Times New Roman" w:hAnsi="Times New Roman"/>
          <w:b/>
          <w:bCs/>
          <w:color w:val="auto"/>
          <w:szCs w:val="22"/>
        </w:rPr>
      </w:pPr>
      <w:r w:rsidRPr="00506530">
        <w:rPr>
          <w:rFonts w:ascii="Times New Roman" w:hAnsi="Times New Roman"/>
          <w:b/>
          <w:bCs/>
          <w:color w:val="auto"/>
          <w:szCs w:val="22"/>
        </w:rPr>
        <w:t xml:space="preserve">Retrasos e incumplimiento </w:t>
      </w:r>
    </w:p>
    <w:p w14:paraId="7A4A3E0F" w14:textId="77777777" w:rsidR="00F0016E" w:rsidRPr="00506530" w:rsidRDefault="00F0016E" w:rsidP="00F0016E">
      <w:pPr>
        <w:tabs>
          <w:tab w:val="left" w:pos="360"/>
        </w:tabs>
        <w:jc w:val="both"/>
        <w:rPr>
          <w:rFonts w:ascii="Times New Roman" w:hAnsi="Times New Roman"/>
          <w:color w:val="auto"/>
          <w:szCs w:val="22"/>
        </w:rPr>
      </w:pPr>
    </w:p>
    <w:p w14:paraId="0D3BB4B9" w14:textId="77777777" w:rsidR="00F0016E" w:rsidRPr="00506530" w:rsidRDefault="00F0016E" w:rsidP="00F0016E">
      <w:pPr>
        <w:numPr>
          <w:ilvl w:val="1"/>
          <w:numId w:val="1"/>
        </w:numPr>
        <w:ind w:left="450"/>
        <w:jc w:val="both"/>
        <w:rPr>
          <w:rFonts w:ascii="Times New Roman" w:hAnsi="Times New Roman"/>
          <w:color w:val="auto"/>
          <w:szCs w:val="22"/>
          <w:lang w:val="es-PA"/>
        </w:rPr>
      </w:pPr>
      <w:r w:rsidRPr="00506530">
        <w:rPr>
          <w:rFonts w:ascii="Times New Roman" w:hAnsi="Times New Roman"/>
          <w:color w:val="auto"/>
          <w:szCs w:val="22"/>
          <w:lang w:val="es-PA"/>
        </w:rPr>
        <w:t xml:space="preserve">Si por algún motivo, una de las Partes incumple o no puede cumplir las obligaciones contraídas en virtud del presente Acuerdo o con arreglo a la Nota Conceptual (Anexo A), deberá notificar por escrito a la otra Parte lo antes posible, aportando toda la información pertinente. </w:t>
      </w:r>
    </w:p>
    <w:p w14:paraId="3B216C94" w14:textId="77777777" w:rsidR="00F0016E" w:rsidRPr="00506530" w:rsidRDefault="00F0016E" w:rsidP="00F0016E">
      <w:pPr>
        <w:numPr>
          <w:ilvl w:val="1"/>
          <w:numId w:val="1"/>
        </w:numPr>
        <w:ind w:left="450"/>
        <w:jc w:val="both"/>
        <w:rPr>
          <w:rFonts w:ascii="Times New Roman" w:hAnsi="Times New Roman"/>
          <w:color w:val="auto"/>
          <w:szCs w:val="22"/>
          <w:lang w:val="es-PA"/>
        </w:rPr>
      </w:pPr>
      <w:r w:rsidRPr="00506530">
        <w:rPr>
          <w:rFonts w:ascii="Times New Roman" w:hAnsi="Times New Roman"/>
          <w:color w:val="auto"/>
          <w:szCs w:val="22"/>
          <w:lang w:val="es-PA"/>
        </w:rPr>
        <w:t>Tras recibir dicha notificación, la Parte afectada tomará las medidas que, a discreción propia, considere adecuadas o necesarias, según las circunstancias.</w:t>
      </w:r>
    </w:p>
    <w:p w14:paraId="0C4F2BEE" w14:textId="77777777" w:rsidR="00F0016E" w:rsidRPr="00506530" w:rsidRDefault="00F0016E" w:rsidP="00F0016E">
      <w:pPr>
        <w:pStyle w:val="Sinespaciado"/>
        <w:jc w:val="both"/>
        <w:rPr>
          <w:sz w:val="22"/>
          <w:szCs w:val="22"/>
          <w:lang w:val="es-PA"/>
        </w:rPr>
      </w:pPr>
    </w:p>
    <w:p w14:paraId="54550BD9" w14:textId="77777777" w:rsidR="00F0016E" w:rsidRPr="00506530" w:rsidRDefault="00F0016E" w:rsidP="00F0016E">
      <w:pPr>
        <w:numPr>
          <w:ilvl w:val="1"/>
          <w:numId w:val="1"/>
        </w:numPr>
        <w:ind w:left="450"/>
        <w:jc w:val="both"/>
        <w:rPr>
          <w:rFonts w:ascii="Times New Roman" w:hAnsi="Times New Roman"/>
          <w:color w:val="auto"/>
          <w:szCs w:val="22"/>
          <w:lang w:val="es-PA"/>
        </w:rPr>
      </w:pPr>
      <w:r w:rsidRPr="00506530">
        <w:rPr>
          <w:rFonts w:ascii="Times New Roman" w:hAnsi="Times New Roman"/>
          <w:color w:val="auto"/>
          <w:szCs w:val="22"/>
          <w:lang w:val="es-PA"/>
        </w:rPr>
        <w:t xml:space="preserve">Ninguna de las Partes será responsable de cualquier retraso en el desempeño o incumplimiento de cualquiera de sus obligaciones en el marco del presente Acuerdo si dicho retraso o incumplimiento se </w:t>
      </w:r>
      <w:r w:rsidRPr="00506530">
        <w:rPr>
          <w:rFonts w:ascii="Times New Roman" w:hAnsi="Times New Roman"/>
          <w:color w:val="auto"/>
          <w:szCs w:val="22"/>
          <w:lang w:val="es-PA"/>
        </w:rPr>
        <w:lastRenderedPageBreak/>
        <w:t>debiere a motivos de fuerza mayor, a saber: un evento natural imprevisible e invencible, un acto de guerra (bien sea declarada o no), invasión, revolución, insurrección, terrorismo, bloqueo o embargo, huelga, restricciones gubernamentales o estatales, desastre natural, epidemia, crisis de salud pública, u otras circunstancias que no sean causadas por, o, que no pudiesen ser controladas por la Parte afectada.</w:t>
      </w:r>
    </w:p>
    <w:p w14:paraId="5DB45B1F" w14:textId="77777777" w:rsidR="00F0016E" w:rsidRPr="00506530" w:rsidRDefault="00F0016E" w:rsidP="00F0016E">
      <w:pPr>
        <w:pStyle w:val="Sinespaciado"/>
        <w:jc w:val="both"/>
        <w:rPr>
          <w:sz w:val="22"/>
          <w:szCs w:val="22"/>
          <w:lang w:val="es-PA"/>
        </w:rPr>
      </w:pPr>
    </w:p>
    <w:p w14:paraId="6B18A58D" w14:textId="77777777" w:rsidR="00F0016E" w:rsidRPr="00506530" w:rsidRDefault="00F0016E" w:rsidP="00F0016E">
      <w:pPr>
        <w:numPr>
          <w:ilvl w:val="1"/>
          <w:numId w:val="1"/>
        </w:numPr>
        <w:ind w:left="450"/>
        <w:jc w:val="both"/>
        <w:rPr>
          <w:rFonts w:ascii="Times New Roman" w:hAnsi="Times New Roman"/>
          <w:color w:val="auto"/>
          <w:szCs w:val="22"/>
          <w:lang w:val="es-PA"/>
        </w:rPr>
      </w:pPr>
      <w:r w:rsidRPr="00506530">
        <w:rPr>
          <w:rFonts w:ascii="Times New Roman" w:hAnsi="Times New Roman"/>
          <w:color w:val="auto"/>
          <w:szCs w:val="22"/>
          <w:lang w:val="es-PA"/>
        </w:rPr>
        <w:t xml:space="preserve">Tan pronto </w:t>
      </w:r>
      <w:r w:rsidRPr="00506530">
        <w:rPr>
          <w:rFonts w:ascii="Times New Roman" w:hAnsi="Times New Roman"/>
          <w:bCs/>
          <w:snapToGrid w:val="0"/>
          <w:color w:val="auto"/>
          <w:szCs w:val="22"/>
        </w:rPr>
        <w:t>como</w:t>
      </w:r>
      <w:r w:rsidRPr="00506530">
        <w:rPr>
          <w:rFonts w:ascii="Times New Roman" w:hAnsi="Times New Roman"/>
          <w:color w:val="auto"/>
          <w:szCs w:val="22"/>
          <w:lang w:val="es-PA"/>
        </w:rPr>
        <w:t xml:space="preserve"> sea posible luego de la ocurrencia del evento de fuerza mayor que impacte la capacidad de la Parte afectada para cumplir sus obligaciones bajo el presente Acuerdo, la Parte afectada deberá notificar y proporcionar los detalles inmediatamente y por escrito a la otra Parte, de la existencia de dicho evento de fuerza mayor y de la probabilidad de que se produzca un retraso. </w:t>
      </w:r>
    </w:p>
    <w:p w14:paraId="2B9404A4" w14:textId="77777777" w:rsidR="00F0016E" w:rsidRPr="00506530" w:rsidRDefault="00F0016E" w:rsidP="00F0016E">
      <w:pPr>
        <w:pStyle w:val="Sinespaciado"/>
        <w:jc w:val="both"/>
        <w:rPr>
          <w:sz w:val="22"/>
          <w:szCs w:val="22"/>
          <w:lang w:val="es-PA"/>
        </w:rPr>
      </w:pPr>
    </w:p>
    <w:p w14:paraId="6882C923" w14:textId="77777777" w:rsidR="00F0016E" w:rsidRPr="00506530" w:rsidRDefault="00F0016E" w:rsidP="00F0016E">
      <w:pPr>
        <w:numPr>
          <w:ilvl w:val="1"/>
          <w:numId w:val="1"/>
        </w:numPr>
        <w:ind w:left="450"/>
        <w:jc w:val="both"/>
        <w:rPr>
          <w:rFonts w:ascii="Times New Roman" w:hAnsi="Times New Roman"/>
          <w:color w:val="auto"/>
          <w:szCs w:val="22"/>
          <w:lang w:val="es-PA"/>
        </w:rPr>
      </w:pPr>
      <w:r w:rsidRPr="00506530">
        <w:rPr>
          <w:rFonts w:ascii="Times New Roman" w:hAnsi="Times New Roman"/>
          <w:color w:val="auto"/>
          <w:szCs w:val="22"/>
          <w:lang w:val="es-PA"/>
        </w:rPr>
        <w:t xml:space="preserve">Al recibir dicha </w:t>
      </w:r>
      <w:r w:rsidRPr="00506530">
        <w:rPr>
          <w:rFonts w:ascii="Times New Roman" w:hAnsi="Times New Roman"/>
          <w:bCs/>
          <w:snapToGrid w:val="0"/>
          <w:color w:val="auto"/>
          <w:szCs w:val="22"/>
        </w:rPr>
        <w:t>notificación</w:t>
      </w:r>
      <w:r w:rsidRPr="00506530">
        <w:rPr>
          <w:rFonts w:ascii="Times New Roman" w:hAnsi="Times New Roman"/>
          <w:color w:val="auto"/>
          <w:szCs w:val="22"/>
          <w:lang w:val="es-PA"/>
        </w:rPr>
        <w:t xml:space="preserve">, la otra Parte deberá tomar medidas según lo que razonablemente considere apropiado o necesario bajo las circunstancias, incluyendo otorgar a la Parte afectada una extensión de tiempo razonable para que ésta cumpla con sus obligaciones. </w:t>
      </w:r>
    </w:p>
    <w:p w14:paraId="7C6B4171" w14:textId="77777777" w:rsidR="00F0016E" w:rsidRPr="00506530" w:rsidRDefault="00F0016E" w:rsidP="00F0016E">
      <w:pPr>
        <w:pStyle w:val="Sinespaciado"/>
        <w:jc w:val="both"/>
        <w:rPr>
          <w:sz w:val="22"/>
          <w:szCs w:val="22"/>
          <w:lang w:val="es-PA"/>
        </w:rPr>
      </w:pPr>
    </w:p>
    <w:p w14:paraId="39BA8450" w14:textId="77777777" w:rsidR="00F0016E" w:rsidRPr="00506530" w:rsidRDefault="00F0016E" w:rsidP="00F0016E">
      <w:pPr>
        <w:numPr>
          <w:ilvl w:val="1"/>
          <w:numId w:val="1"/>
        </w:numPr>
        <w:ind w:left="450"/>
        <w:jc w:val="both"/>
        <w:rPr>
          <w:rFonts w:ascii="Times New Roman" w:hAnsi="Times New Roman"/>
          <w:color w:val="auto"/>
          <w:szCs w:val="22"/>
          <w:lang w:val="es-PA"/>
        </w:rPr>
      </w:pPr>
      <w:r w:rsidRPr="00506530">
        <w:rPr>
          <w:rFonts w:ascii="Times New Roman" w:hAnsi="Times New Roman"/>
          <w:color w:val="auto"/>
          <w:szCs w:val="22"/>
          <w:lang w:val="es-PA"/>
        </w:rPr>
        <w:t xml:space="preserve">Durante dicho </w:t>
      </w:r>
      <w:r w:rsidRPr="00506530">
        <w:rPr>
          <w:rFonts w:ascii="Times New Roman" w:hAnsi="Times New Roman"/>
          <w:bCs/>
          <w:snapToGrid w:val="0"/>
          <w:color w:val="auto"/>
          <w:szCs w:val="22"/>
        </w:rPr>
        <w:t>periodo</w:t>
      </w:r>
      <w:r w:rsidRPr="00506530">
        <w:rPr>
          <w:rFonts w:ascii="Times New Roman" w:hAnsi="Times New Roman"/>
          <w:color w:val="auto"/>
          <w:szCs w:val="22"/>
          <w:lang w:val="es-PA"/>
        </w:rPr>
        <w:t xml:space="preserve"> de fuerza mayor, la Parte afectada deberá tomar acciones razonables para minimizar los daños y reanudar el desempeño.</w:t>
      </w:r>
    </w:p>
    <w:p w14:paraId="4372B912" w14:textId="77777777" w:rsidR="00F0016E" w:rsidRPr="00506530" w:rsidRDefault="00F0016E" w:rsidP="00F0016E">
      <w:pPr>
        <w:pStyle w:val="Sinespaciado"/>
        <w:jc w:val="both"/>
        <w:rPr>
          <w:sz w:val="22"/>
          <w:szCs w:val="22"/>
          <w:lang w:val="es-PA"/>
        </w:rPr>
      </w:pPr>
    </w:p>
    <w:p w14:paraId="2332B05F" w14:textId="77777777" w:rsidR="00F0016E" w:rsidRPr="00506530" w:rsidRDefault="00F0016E" w:rsidP="00F0016E">
      <w:pPr>
        <w:numPr>
          <w:ilvl w:val="1"/>
          <w:numId w:val="1"/>
        </w:numPr>
        <w:ind w:left="450"/>
        <w:jc w:val="both"/>
        <w:rPr>
          <w:rFonts w:ascii="Times New Roman" w:hAnsi="Times New Roman"/>
          <w:color w:val="auto"/>
          <w:szCs w:val="22"/>
          <w:lang w:val="es-PA"/>
        </w:rPr>
      </w:pPr>
      <w:r w:rsidRPr="00506530">
        <w:rPr>
          <w:rFonts w:ascii="Times New Roman" w:hAnsi="Times New Roman"/>
          <w:color w:val="auto"/>
          <w:szCs w:val="22"/>
          <w:lang w:val="es-PA"/>
        </w:rPr>
        <w:t xml:space="preserve">Ambas Partes tendrán el </w:t>
      </w:r>
      <w:r w:rsidRPr="00506530">
        <w:rPr>
          <w:rFonts w:ascii="Times New Roman" w:hAnsi="Times New Roman"/>
          <w:bCs/>
          <w:snapToGrid w:val="0"/>
          <w:color w:val="auto"/>
          <w:szCs w:val="22"/>
        </w:rPr>
        <w:t>derecho</w:t>
      </w:r>
      <w:r w:rsidRPr="00506530">
        <w:rPr>
          <w:rFonts w:ascii="Times New Roman" w:hAnsi="Times New Roman"/>
          <w:color w:val="auto"/>
          <w:szCs w:val="22"/>
          <w:lang w:val="es-PA"/>
        </w:rPr>
        <w:t>, sin que le sea imputable responsabilidad alguna, de suspender o rescindir el presente Acuerdo si la Parte no está en capacidad de cumplir con sus obligaciones bajo el Acuerdo por causa de fuerza mayor. En caso de suspensión o rescisión aplicarán los términos la cláusula relativa a la rescisión.</w:t>
      </w:r>
    </w:p>
    <w:p w14:paraId="6AA4F544" w14:textId="77777777" w:rsidR="00F0016E" w:rsidRPr="00506530" w:rsidRDefault="00F0016E" w:rsidP="00F0016E">
      <w:pPr>
        <w:tabs>
          <w:tab w:val="left" w:pos="360"/>
        </w:tabs>
        <w:jc w:val="both"/>
        <w:rPr>
          <w:rFonts w:ascii="Times New Roman" w:hAnsi="Times New Roman"/>
          <w:color w:val="auto"/>
          <w:szCs w:val="22"/>
          <w:lang w:val="es-PA"/>
        </w:rPr>
      </w:pPr>
    </w:p>
    <w:p w14:paraId="556219DA" w14:textId="77777777" w:rsidR="00F0016E" w:rsidRPr="00506530" w:rsidRDefault="00F0016E" w:rsidP="00F0016E">
      <w:pPr>
        <w:numPr>
          <w:ilvl w:val="0"/>
          <w:numId w:val="1"/>
        </w:numPr>
        <w:tabs>
          <w:tab w:val="left" w:pos="360"/>
        </w:tabs>
        <w:jc w:val="both"/>
        <w:rPr>
          <w:rFonts w:ascii="Times New Roman" w:hAnsi="Times New Roman"/>
          <w:b/>
          <w:bCs/>
          <w:color w:val="auto"/>
          <w:szCs w:val="22"/>
          <w:lang w:val="es-PA"/>
        </w:rPr>
      </w:pPr>
      <w:r w:rsidRPr="00506530">
        <w:rPr>
          <w:rFonts w:ascii="Times New Roman" w:hAnsi="Times New Roman"/>
          <w:b/>
          <w:bCs/>
          <w:color w:val="auto"/>
          <w:szCs w:val="22"/>
          <w:lang w:val="es-PA"/>
        </w:rPr>
        <w:t xml:space="preserve">Contratista </w:t>
      </w:r>
      <w:r w:rsidRPr="00506530">
        <w:rPr>
          <w:rFonts w:ascii="Times New Roman" w:hAnsi="Times New Roman"/>
          <w:b/>
          <w:bCs/>
          <w:color w:val="auto"/>
          <w:szCs w:val="22"/>
        </w:rPr>
        <w:t>independiente</w:t>
      </w:r>
    </w:p>
    <w:p w14:paraId="2F86AC78" w14:textId="77777777" w:rsidR="00F0016E" w:rsidRPr="00506530" w:rsidRDefault="00F0016E" w:rsidP="00F0016E">
      <w:pPr>
        <w:tabs>
          <w:tab w:val="left" w:pos="360"/>
        </w:tabs>
        <w:jc w:val="both"/>
        <w:rPr>
          <w:rFonts w:ascii="Times New Roman" w:hAnsi="Times New Roman"/>
          <w:color w:val="auto"/>
          <w:szCs w:val="22"/>
          <w:lang w:val="es-PA"/>
        </w:rPr>
      </w:pPr>
    </w:p>
    <w:p w14:paraId="5C933D20" w14:textId="77777777" w:rsidR="00F0016E" w:rsidRPr="00506530" w:rsidRDefault="00F0016E" w:rsidP="00F0016E">
      <w:pPr>
        <w:tabs>
          <w:tab w:val="left" w:pos="360"/>
        </w:tabs>
        <w:jc w:val="both"/>
        <w:rPr>
          <w:rFonts w:ascii="Times New Roman" w:hAnsi="Times New Roman"/>
          <w:color w:val="auto"/>
          <w:szCs w:val="22"/>
          <w:lang w:val="es-PA"/>
        </w:rPr>
      </w:pPr>
      <w:r w:rsidRPr="00506530">
        <w:rPr>
          <w:rFonts w:ascii="Times New Roman" w:hAnsi="Times New Roman"/>
          <w:color w:val="auto"/>
          <w:szCs w:val="22"/>
          <w:lang w:val="es-PA"/>
        </w:rPr>
        <w:t>El IGM, sus empleados y otro personal, así como sus subcontratistas y su personal, si lo hubiera, realizarán todas las actividades con arreglo al presente Acuerdo como contratista independiente y no en calidad de empleado o agente de la OIM.</w:t>
      </w:r>
    </w:p>
    <w:p w14:paraId="179CE40C" w14:textId="77777777" w:rsidR="00F0016E" w:rsidRPr="00506530" w:rsidRDefault="00F0016E" w:rsidP="00F0016E">
      <w:pPr>
        <w:tabs>
          <w:tab w:val="left" w:pos="360"/>
        </w:tabs>
        <w:jc w:val="both"/>
        <w:rPr>
          <w:rFonts w:ascii="Times New Roman" w:hAnsi="Times New Roman"/>
          <w:color w:val="auto"/>
          <w:szCs w:val="22"/>
          <w:lang w:val="es-PA"/>
        </w:rPr>
      </w:pPr>
    </w:p>
    <w:p w14:paraId="78E557A7" w14:textId="77777777" w:rsidR="00F0016E" w:rsidRPr="00506530" w:rsidRDefault="00F0016E" w:rsidP="00F0016E">
      <w:pPr>
        <w:numPr>
          <w:ilvl w:val="0"/>
          <w:numId w:val="1"/>
        </w:numPr>
        <w:jc w:val="both"/>
        <w:rPr>
          <w:rFonts w:ascii="Times New Roman" w:hAnsi="Times New Roman"/>
          <w:b/>
          <w:color w:val="auto"/>
          <w:szCs w:val="22"/>
        </w:rPr>
      </w:pPr>
      <w:r w:rsidRPr="00506530">
        <w:rPr>
          <w:rFonts w:ascii="Times New Roman" w:hAnsi="Times New Roman"/>
          <w:b/>
          <w:color w:val="auto"/>
          <w:szCs w:val="22"/>
        </w:rPr>
        <w:t>Confidencialidad</w:t>
      </w:r>
    </w:p>
    <w:p w14:paraId="1160A3D2" w14:textId="77777777" w:rsidR="00F0016E" w:rsidRPr="00506530" w:rsidRDefault="00F0016E" w:rsidP="00F0016E">
      <w:pPr>
        <w:pStyle w:val="Sangra2detindependiente"/>
        <w:ind w:left="450"/>
        <w:jc w:val="both"/>
        <w:rPr>
          <w:rFonts w:ascii="Times New Roman" w:hAnsi="Times New Roman"/>
          <w:color w:val="auto"/>
          <w:szCs w:val="22"/>
        </w:rPr>
      </w:pPr>
    </w:p>
    <w:p w14:paraId="43797665" w14:textId="77777777" w:rsidR="00F0016E" w:rsidRPr="00506530" w:rsidRDefault="00F0016E" w:rsidP="00D716BA">
      <w:pPr>
        <w:numPr>
          <w:ilvl w:val="1"/>
          <w:numId w:val="1"/>
        </w:numPr>
        <w:ind w:left="450" w:hanging="450"/>
        <w:jc w:val="both"/>
        <w:rPr>
          <w:rFonts w:ascii="Times New Roman" w:hAnsi="Times New Roman"/>
          <w:color w:val="auto"/>
          <w:szCs w:val="22"/>
        </w:rPr>
      </w:pPr>
      <w:r w:rsidRPr="00506530">
        <w:rPr>
          <w:rFonts w:ascii="Times New Roman" w:hAnsi="Times New Roman"/>
          <w:color w:val="auto"/>
          <w:szCs w:val="22"/>
        </w:rPr>
        <w:t xml:space="preserve">Cualquier </w:t>
      </w:r>
      <w:r w:rsidRPr="00506530">
        <w:rPr>
          <w:rFonts w:ascii="Times New Roman" w:hAnsi="Times New Roman"/>
          <w:color w:val="auto"/>
          <w:szCs w:val="22"/>
          <w:lang w:val="es-PA"/>
        </w:rPr>
        <w:t>información</w:t>
      </w:r>
      <w:r w:rsidRPr="00506530">
        <w:rPr>
          <w:rFonts w:ascii="Times New Roman" w:hAnsi="Times New Roman"/>
          <w:color w:val="auto"/>
          <w:szCs w:val="22"/>
        </w:rPr>
        <w:t>, incluida aquella de carácter personal, sobre los beneficiarios que esté en posesión o conocimiento del IGM con relación al presente Acuerdo o al Proyecto deberá ser tratada con estricta confidencialidad. El IGM no comunicará dicha información a terceros sin la previa autorización escrita de la OIM. El IGM deberá cumplir con los Principios de Protección de Datos de la OIM (Anexo C) en caso de que reúna, reciba, utilice, transfiera o almacene cualquier dato personal en el cumplimiento del presente Acuerdo. Estas obligaciones seguirán vigentes después de la expiración o terminación de este Acuerdo.</w:t>
      </w:r>
    </w:p>
    <w:p w14:paraId="25BFE8FE" w14:textId="77777777" w:rsidR="00F0016E" w:rsidRPr="00506530" w:rsidRDefault="00F0016E" w:rsidP="00F0016E">
      <w:pPr>
        <w:pStyle w:val="Sangra2detindependiente"/>
        <w:ind w:left="450" w:hanging="450"/>
        <w:jc w:val="both"/>
        <w:rPr>
          <w:rFonts w:ascii="Times New Roman" w:hAnsi="Times New Roman"/>
          <w:snapToGrid/>
          <w:color w:val="auto"/>
          <w:szCs w:val="22"/>
        </w:rPr>
      </w:pPr>
    </w:p>
    <w:p w14:paraId="4E5A2C1E" w14:textId="77777777" w:rsidR="00F0016E" w:rsidRPr="00506530" w:rsidRDefault="00F0016E" w:rsidP="00D716BA">
      <w:pPr>
        <w:numPr>
          <w:ilvl w:val="1"/>
          <w:numId w:val="1"/>
        </w:numPr>
        <w:ind w:left="450" w:hanging="450"/>
        <w:jc w:val="both"/>
        <w:rPr>
          <w:rFonts w:ascii="Times New Roman" w:hAnsi="Times New Roman"/>
          <w:color w:val="auto"/>
          <w:szCs w:val="22"/>
        </w:rPr>
      </w:pPr>
      <w:r w:rsidRPr="00506530">
        <w:rPr>
          <w:rFonts w:ascii="Times New Roman" w:hAnsi="Times New Roman"/>
          <w:color w:val="auto"/>
          <w:szCs w:val="22"/>
        </w:rPr>
        <w:t>Sin perjuicio del párrafo precedente, la OIM podrá revelar información relacionada con el presente Acuerdo, como el nombre de la contraparte, el valor simbólico del Acuerdo, el título del proyecto, la naturaleza y el propósito del proyecto, el nombre y la localidad/domicilio del IGM en la ejecución y el monto del contrato/proyecto, en toda la medida que sea requerida por los Donantes de la OIM o en relación con cualquier obligación que tenga la OIM bajo el contexto de cualquier iniciativa en favor de la transparencia y la responsabilidad para con los fondos recibidos por la OIM, de conformidad con las políticas, instrucciones y regulaciones de la OIM.</w:t>
      </w:r>
    </w:p>
    <w:p w14:paraId="745B5E8D" w14:textId="77777777" w:rsidR="00F0016E" w:rsidRPr="00506530" w:rsidRDefault="00F0016E" w:rsidP="00F0016E">
      <w:pPr>
        <w:pStyle w:val="Prrafodelista"/>
        <w:rPr>
          <w:rFonts w:ascii="Times New Roman" w:hAnsi="Times New Roman"/>
          <w:color w:val="auto"/>
        </w:rPr>
      </w:pPr>
    </w:p>
    <w:p w14:paraId="70473763" w14:textId="77777777" w:rsidR="00F0016E" w:rsidRPr="00506530" w:rsidRDefault="00F0016E" w:rsidP="00D716BA">
      <w:pPr>
        <w:numPr>
          <w:ilvl w:val="1"/>
          <w:numId w:val="1"/>
        </w:numPr>
        <w:ind w:left="450" w:hanging="450"/>
        <w:jc w:val="both"/>
        <w:rPr>
          <w:rFonts w:ascii="Times New Roman" w:hAnsi="Times New Roman"/>
          <w:color w:val="auto"/>
          <w:szCs w:val="22"/>
        </w:rPr>
      </w:pPr>
      <w:r w:rsidRPr="00506530">
        <w:rPr>
          <w:rFonts w:ascii="Times New Roman" w:hAnsi="Times New Roman"/>
          <w:color w:val="auto"/>
          <w:szCs w:val="22"/>
        </w:rPr>
        <w:t xml:space="preserve">Sin perjuicio de lo anterior, al IGM también le serán aplicables las normativas vigentes respecto al acceso a la información pública vigentes en la República de Guatemala. </w:t>
      </w:r>
    </w:p>
    <w:p w14:paraId="5A0075CC" w14:textId="77777777" w:rsidR="00F0016E" w:rsidRPr="00506530" w:rsidRDefault="00F0016E" w:rsidP="00F0016E">
      <w:pPr>
        <w:ind w:left="450"/>
        <w:jc w:val="both"/>
        <w:rPr>
          <w:rFonts w:ascii="Times New Roman" w:hAnsi="Times New Roman"/>
          <w:color w:val="auto"/>
          <w:szCs w:val="22"/>
        </w:rPr>
      </w:pPr>
    </w:p>
    <w:p w14:paraId="5EB4072C" w14:textId="77777777" w:rsidR="00F0016E" w:rsidRPr="00506530" w:rsidRDefault="00F0016E" w:rsidP="00F0016E">
      <w:pPr>
        <w:numPr>
          <w:ilvl w:val="0"/>
          <w:numId w:val="1"/>
        </w:numPr>
        <w:jc w:val="both"/>
        <w:rPr>
          <w:rFonts w:ascii="Times New Roman" w:hAnsi="Times New Roman"/>
          <w:b/>
          <w:color w:val="auto"/>
          <w:szCs w:val="22"/>
        </w:rPr>
      </w:pPr>
      <w:r w:rsidRPr="00506530">
        <w:rPr>
          <w:rFonts w:ascii="Times New Roman" w:hAnsi="Times New Roman"/>
          <w:b/>
          <w:color w:val="auto"/>
          <w:spacing w:val="-3"/>
          <w:szCs w:val="22"/>
        </w:rPr>
        <w:t xml:space="preserve">Propiedad </w:t>
      </w:r>
      <w:r w:rsidRPr="00506530">
        <w:rPr>
          <w:rFonts w:ascii="Times New Roman" w:hAnsi="Times New Roman"/>
          <w:b/>
          <w:color w:val="auto"/>
          <w:szCs w:val="22"/>
        </w:rPr>
        <w:t>intelectual</w:t>
      </w:r>
      <w:r w:rsidRPr="00506530">
        <w:rPr>
          <w:rFonts w:ascii="Times New Roman" w:hAnsi="Times New Roman"/>
          <w:color w:val="auto"/>
          <w:szCs w:val="22"/>
        </w:rPr>
        <w:t xml:space="preserve"> </w:t>
      </w:r>
    </w:p>
    <w:p w14:paraId="3B840AB0" w14:textId="77777777" w:rsidR="00F0016E" w:rsidRPr="00506530" w:rsidRDefault="00F0016E" w:rsidP="00F0016E">
      <w:pPr>
        <w:ind w:left="90"/>
        <w:jc w:val="both"/>
        <w:rPr>
          <w:rFonts w:ascii="Times New Roman" w:hAnsi="Times New Roman"/>
          <w:snapToGrid w:val="0"/>
          <w:color w:val="auto"/>
          <w:szCs w:val="22"/>
        </w:rPr>
      </w:pPr>
    </w:p>
    <w:p w14:paraId="539AC466" w14:textId="77777777" w:rsidR="00F0016E" w:rsidRPr="00506530" w:rsidRDefault="00F0016E" w:rsidP="00D716BA">
      <w:pPr>
        <w:numPr>
          <w:ilvl w:val="1"/>
          <w:numId w:val="1"/>
        </w:numPr>
        <w:ind w:left="450" w:hanging="450"/>
        <w:jc w:val="both"/>
        <w:rPr>
          <w:rFonts w:ascii="Times New Roman" w:hAnsi="Times New Roman"/>
          <w:color w:val="auto"/>
          <w:szCs w:val="22"/>
        </w:rPr>
      </w:pPr>
      <w:r w:rsidRPr="00506530">
        <w:rPr>
          <w:rFonts w:ascii="Times New Roman" w:hAnsi="Times New Roman"/>
          <w:color w:val="auto"/>
          <w:szCs w:val="22"/>
        </w:rPr>
        <w:lastRenderedPageBreak/>
        <w:t xml:space="preserve">Este Acuerdo no tiene la intención de crear nuevos derechos de propiedad intelectual. </w:t>
      </w:r>
    </w:p>
    <w:p w14:paraId="736D5B50" w14:textId="77777777" w:rsidR="00F0016E" w:rsidRPr="00506530" w:rsidRDefault="00F0016E" w:rsidP="00D716BA">
      <w:pPr>
        <w:pStyle w:val="Sangra2detindependiente"/>
        <w:ind w:left="0" w:hanging="450"/>
        <w:jc w:val="both"/>
        <w:rPr>
          <w:rFonts w:ascii="Times New Roman" w:hAnsi="Times New Roman"/>
          <w:snapToGrid/>
          <w:color w:val="auto"/>
          <w:szCs w:val="22"/>
        </w:rPr>
      </w:pPr>
    </w:p>
    <w:p w14:paraId="4554F93C" w14:textId="77777777" w:rsidR="00F0016E" w:rsidRPr="00506530" w:rsidRDefault="00F0016E" w:rsidP="00D716BA">
      <w:pPr>
        <w:numPr>
          <w:ilvl w:val="1"/>
          <w:numId w:val="1"/>
        </w:numPr>
        <w:ind w:left="450" w:hanging="450"/>
        <w:jc w:val="both"/>
        <w:rPr>
          <w:rFonts w:ascii="Times New Roman" w:hAnsi="Times New Roman"/>
          <w:color w:val="auto"/>
          <w:szCs w:val="22"/>
        </w:rPr>
      </w:pPr>
      <w:r w:rsidRPr="00506530">
        <w:rPr>
          <w:rFonts w:ascii="Times New Roman" w:hAnsi="Times New Roman"/>
          <w:color w:val="auto"/>
          <w:szCs w:val="22"/>
        </w:rPr>
        <w:t xml:space="preserve">Las Partes conservarán cualquier </w:t>
      </w:r>
      <w:r w:rsidRPr="00506530">
        <w:rPr>
          <w:rFonts w:ascii="Times New Roman" w:hAnsi="Times New Roman"/>
          <w:snapToGrid w:val="0"/>
          <w:color w:val="000000"/>
          <w:szCs w:val="22"/>
          <w:lang w:val="es-GT"/>
        </w:rPr>
        <w:t>derecho</w:t>
      </w:r>
      <w:r w:rsidRPr="00506530">
        <w:rPr>
          <w:rFonts w:ascii="Times New Roman" w:hAnsi="Times New Roman"/>
          <w:color w:val="auto"/>
          <w:szCs w:val="22"/>
        </w:rPr>
        <w:t xml:space="preserve"> de propiedad intelectual preexistente con respecto a cualquier documento, material y otros trabajos utilizados en o resultantes de las actividades bajo este Acuerdo.</w:t>
      </w:r>
    </w:p>
    <w:p w14:paraId="67EA3F4C" w14:textId="77777777" w:rsidR="00F0016E" w:rsidRPr="00506530" w:rsidRDefault="00F0016E" w:rsidP="00F0016E">
      <w:pPr>
        <w:pStyle w:val="Sangra2detindependiente"/>
        <w:ind w:left="0"/>
        <w:jc w:val="both"/>
        <w:rPr>
          <w:rFonts w:ascii="Times New Roman" w:hAnsi="Times New Roman"/>
          <w:color w:val="auto"/>
          <w:szCs w:val="22"/>
        </w:rPr>
      </w:pPr>
    </w:p>
    <w:p w14:paraId="208B31E9" w14:textId="77777777" w:rsidR="00F0016E" w:rsidRPr="00506530" w:rsidRDefault="00F0016E" w:rsidP="00F0016E">
      <w:pPr>
        <w:numPr>
          <w:ilvl w:val="0"/>
          <w:numId w:val="1"/>
        </w:numPr>
        <w:jc w:val="both"/>
        <w:rPr>
          <w:rFonts w:ascii="Times New Roman" w:hAnsi="Times New Roman"/>
          <w:b/>
          <w:color w:val="auto"/>
          <w:spacing w:val="-3"/>
          <w:szCs w:val="22"/>
        </w:rPr>
      </w:pPr>
      <w:r w:rsidRPr="00506530">
        <w:rPr>
          <w:rFonts w:ascii="Times New Roman" w:hAnsi="Times New Roman"/>
          <w:b/>
          <w:color w:val="auto"/>
          <w:szCs w:val="22"/>
        </w:rPr>
        <w:t>Notificaciones</w:t>
      </w:r>
    </w:p>
    <w:p w14:paraId="17066F52" w14:textId="77777777" w:rsidR="00F0016E" w:rsidRPr="00506530" w:rsidRDefault="00F0016E" w:rsidP="00F0016E">
      <w:pPr>
        <w:suppressAutoHyphens/>
        <w:ind w:left="540"/>
        <w:jc w:val="both"/>
        <w:rPr>
          <w:rFonts w:ascii="Times New Roman" w:hAnsi="Times New Roman"/>
          <w:b/>
          <w:color w:val="auto"/>
          <w:spacing w:val="-3"/>
          <w:szCs w:val="22"/>
        </w:rPr>
      </w:pPr>
    </w:p>
    <w:p w14:paraId="6CE94EB0" w14:textId="77777777" w:rsidR="00F0016E" w:rsidRPr="00506530" w:rsidRDefault="00F0016E" w:rsidP="00F0016E">
      <w:pPr>
        <w:suppressAutoHyphens/>
        <w:jc w:val="both"/>
        <w:rPr>
          <w:rFonts w:ascii="Times New Roman" w:hAnsi="Times New Roman"/>
          <w:color w:val="auto"/>
          <w:spacing w:val="-3"/>
          <w:szCs w:val="22"/>
        </w:rPr>
      </w:pPr>
      <w:r w:rsidRPr="00506530">
        <w:rPr>
          <w:rFonts w:ascii="Times New Roman" w:hAnsi="Times New Roman"/>
          <w:color w:val="auto"/>
          <w:spacing w:val="-3"/>
          <w:szCs w:val="22"/>
          <w:lang w:val="es-ES_tradnl"/>
        </w:rPr>
        <w:t>Cualquier notificación efectuada en cumplimiento del presente Acuerdo será suficiente si es por escrito y recibida por la Otra Parte en las siguientes direcciones:</w:t>
      </w:r>
    </w:p>
    <w:p w14:paraId="4D7CB517" w14:textId="77777777" w:rsidR="00F0016E" w:rsidRPr="00506530" w:rsidRDefault="00F0016E" w:rsidP="00F0016E">
      <w:pPr>
        <w:suppressAutoHyphens/>
        <w:ind w:left="540"/>
        <w:jc w:val="both"/>
        <w:rPr>
          <w:rFonts w:ascii="Times New Roman" w:hAnsi="Times New Roman"/>
          <w:color w:val="auto"/>
          <w:spacing w:val="-3"/>
          <w:szCs w:val="22"/>
        </w:rPr>
      </w:pPr>
    </w:p>
    <w:p w14:paraId="443C16A3" w14:textId="77777777" w:rsidR="00F0016E" w:rsidRPr="00506530" w:rsidRDefault="00F0016E" w:rsidP="00F0016E">
      <w:pPr>
        <w:tabs>
          <w:tab w:val="left" w:pos="360"/>
        </w:tabs>
        <w:suppressAutoHyphens/>
        <w:jc w:val="both"/>
        <w:rPr>
          <w:rFonts w:ascii="Times New Roman" w:hAnsi="Times New Roman"/>
          <w:b/>
          <w:iCs/>
          <w:color w:val="auto"/>
          <w:spacing w:val="-3"/>
          <w:szCs w:val="22"/>
        </w:rPr>
      </w:pPr>
      <w:r w:rsidRPr="00506530">
        <w:rPr>
          <w:rFonts w:ascii="Times New Roman" w:hAnsi="Times New Roman"/>
          <w:b/>
          <w:color w:val="auto"/>
          <w:spacing w:val="-3"/>
          <w:szCs w:val="22"/>
        </w:rPr>
        <w:t>OIM</w:t>
      </w:r>
    </w:p>
    <w:p w14:paraId="503D388A" w14:textId="5981C3FA" w:rsidR="00F0016E" w:rsidRPr="00506530" w:rsidRDefault="00F0016E" w:rsidP="00F0016E">
      <w:pPr>
        <w:tabs>
          <w:tab w:val="left" w:pos="360"/>
        </w:tabs>
        <w:suppressAutoHyphens/>
        <w:jc w:val="both"/>
        <w:rPr>
          <w:rFonts w:ascii="Times New Roman" w:hAnsi="Times New Roman"/>
          <w:iCs/>
          <w:color w:val="auto"/>
          <w:spacing w:val="-3"/>
          <w:szCs w:val="22"/>
        </w:rPr>
      </w:pPr>
      <w:r w:rsidRPr="00506530">
        <w:rPr>
          <w:rFonts w:ascii="Times New Roman" w:hAnsi="Times New Roman"/>
          <w:color w:val="auto"/>
          <w:spacing w:val="-3"/>
          <w:szCs w:val="22"/>
        </w:rPr>
        <w:t xml:space="preserve">A la atención de: Stefanie </w:t>
      </w:r>
      <w:proofErr w:type="spellStart"/>
      <w:r w:rsidR="00E75824">
        <w:rPr>
          <w:rFonts w:ascii="Times New Roman" w:hAnsi="Times New Roman"/>
          <w:color w:val="auto"/>
          <w:spacing w:val="-3"/>
          <w:szCs w:val="22"/>
        </w:rPr>
        <w:t>Daviot</w:t>
      </w:r>
      <w:proofErr w:type="spellEnd"/>
    </w:p>
    <w:p w14:paraId="57AEF15B" w14:textId="77777777" w:rsidR="00F0016E" w:rsidRPr="00506530" w:rsidRDefault="00F0016E" w:rsidP="00F0016E">
      <w:pPr>
        <w:tabs>
          <w:tab w:val="left" w:pos="360"/>
        </w:tabs>
        <w:suppressAutoHyphens/>
        <w:jc w:val="both"/>
        <w:rPr>
          <w:rFonts w:ascii="Times New Roman" w:hAnsi="Times New Roman"/>
          <w:color w:val="auto"/>
          <w:spacing w:val="-3"/>
          <w:szCs w:val="22"/>
        </w:rPr>
      </w:pPr>
      <w:r w:rsidRPr="00506530">
        <w:rPr>
          <w:rFonts w:ascii="Times New Roman" w:hAnsi="Times New Roman"/>
          <w:color w:val="auto"/>
          <w:spacing w:val="-3"/>
          <w:szCs w:val="22"/>
        </w:rPr>
        <w:t>Avenida La Reforma 9-55, Edificio Reforma 10, Zona 10, Guatemala</w:t>
      </w:r>
    </w:p>
    <w:p w14:paraId="6D6E071F" w14:textId="77777777" w:rsidR="00F0016E" w:rsidRPr="00506530" w:rsidRDefault="00F0016E" w:rsidP="00F0016E">
      <w:pPr>
        <w:tabs>
          <w:tab w:val="left" w:pos="360"/>
        </w:tabs>
        <w:suppressAutoHyphens/>
        <w:jc w:val="both"/>
        <w:rPr>
          <w:rFonts w:ascii="Times New Roman" w:hAnsi="Times New Roman"/>
          <w:iCs/>
          <w:color w:val="auto"/>
          <w:spacing w:val="-3"/>
          <w:szCs w:val="22"/>
        </w:rPr>
      </w:pPr>
      <w:r w:rsidRPr="00506530">
        <w:rPr>
          <w:rFonts w:ascii="Times New Roman" w:hAnsi="Times New Roman"/>
          <w:color w:val="auto"/>
          <w:spacing w:val="-3"/>
          <w:szCs w:val="22"/>
        </w:rPr>
        <w:t>Correo electrónico: sdaviot@iom.int</w:t>
      </w:r>
    </w:p>
    <w:p w14:paraId="31143303" w14:textId="77777777" w:rsidR="00F0016E" w:rsidRPr="00506530" w:rsidRDefault="00F0016E" w:rsidP="00F0016E">
      <w:pPr>
        <w:tabs>
          <w:tab w:val="left" w:pos="360"/>
        </w:tabs>
        <w:suppressAutoHyphens/>
        <w:ind w:left="360"/>
        <w:jc w:val="both"/>
        <w:rPr>
          <w:rFonts w:ascii="Times New Roman" w:hAnsi="Times New Roman"/>
          <w:b/>
          <w:color w:val="auto"/>
          <w:spacing w:val="-3"/>
          <w:szCs w:val="22"/>
        </w:rPr>
      </w:pPr>
    </w:p>
    <w:p w14:paraId="6EF5D294" w14:textId="77777777" w:rsidR="00F0016E" w:rsidRPr="00506530" w:rsidRDefault="00F0016E" w:rsidP="00F0016E">
      <w:pPr>
        <w:tabs>
          <w:tab w:val="left" w:pos="360"/>
        </w:tabs>
        <w:suppressAutoHyphens/>
        <w:jc w:val="both"/>
        <w:rPr>
          <w:rFonts w:ascii="Times New Roman" w:hAnsi="Times New Roman"/>
          <w:b/>
          <w:iCs/>
          <w:color w:val="auto"/>
          <w:spacing w:val="-3"/>
          <w:szCs w:val="22"/>
        </w:rPr>
      </w:pPr>
      <w:r w:rsidRPr="00506530">
        <w:rPr>
          <w:rFonts w:ascii="Times New Roman" w:hAnsi="Times New Roman"/>
          <w:b/>
          <w:color w:val="auto"/>
          <w:spacing w:val="-3"/>
          <w:szCs w:val="22"/>
        </w:rPr>
        <w:t>IGM</w:t>
      </w:r>
    </w:p>
    <w:p w14:paraId="679C6575" w14:textId="30A38E3A" w:rsidR="00F0016E" w:rsidRPr="00506530" w:rsidRDefault="00F0016E" w:rsidP="00F0016E">
      <w:pPr>
        <w:tabs>
          <w:tab w:val="left" w:pos="360"/>
        </w:tabs>
        <w:suppressAutoHyphens/>
        <w:jc w:val="both"/>
        <w:rPr>
          <w:rFonts w:ascii="Times New Roman" w:hAnsi="Times New Roman"/>
          <w:iCs/>
          <w:color w:val="auto"/>
          <w:spacing w:val="-3"/>
          <w:szCs w:val="22"/>
        </w:rPr>
      </w:pPr>
      <w:r w:rsidRPr="00506530">
        <w:rPr>
          <w:rFonts w:ascii="Times New Roman" w:hAnsi="Times New Roman"/>
          <w:color w:val="auto"/>
          <w:spacing w:val="-3"/>
          <w:szCs w:val="22"/>
        </w:rPr>
        <w:t xml:space="preserve">A la atención de: Alfredo </w:t>
      </w:r>
      <w:r w:rsidR="00942233">
        <w:rPr>
          <w:rFonts w:ascii="Times New Roman" w:hAnsi="Times New Roman"/>
          <w:color w:val="auto"/>
          <w:spacing w:val="-3"/>
          <w:szCs w:val="22"/>
        </w:rPr>
        <w:t xml:space="preserve">Danilo </w:t>
      </w:r>
      <w:r w:rsidRPr="00506530">
        <w:rPr>
          <w:rFonts w:ascii="Times New Roman" w:hAnsi="Times New Roman"/>
          <w:color w:val="auto"/>
          <w:spacing w:val="-3"/>
          <w:szCs w:val="22"/>
        </w:rPr>
        <w:t>Rivera</w:t>
      </w:r>
    </w:p>
    <w:p w14:paraId="75ED36B5" w14:textId="77777777" w:rsidR="00F0016E" w:rsidRPr="00506530" w:rsidRDefault="00F0016E" w:rsidP="00F0016E">
      <w:pPr>
        <w:tabs>
          <w:tab w:val="left" w:pos="360"/>
        </w:tabs>
        <w:suppressAutoHyphens/>
        <w:jc w:val="both"/>
        <w:rPr>
          <w:rFonts w:ascii="Times New Roman" w:hAnsi="Times New Roman"/>
          <w:iCs/>
          <w:color w:val="auto"/>
          <w:spacing w:val="-3"/>
          <w:szCs w:val="22"/>
        </w:rPr>
      </w:pPr>
      <w:r w:rsidRPr="00506530">
        <w:rPr>
          <w:rFonts w:ascii="Times New Roman" w:hAnsi="Times New Roman"/>
          <w:color w:val="auto"/>
          <w:spacing w:val="-3"/>
          <w:szCs w:val="22"/>
        </w:rPr>
        <w:t>6a. avenida 3-11 zona 4, ciudad de Guatemala</w:t>
      </w:r>
    </w:p>
    <w:p w14:paraId="2858AB9A" w14:textId="77777777" w:rsidR="00F0016E" w:rsidRPr="00506530" w:rsidRDefault="00F0016E" w:rsidP="00F0016E">
      <w:pPr>
        <w:tabs>
          <w:tab w:val="left" w:pos="360"/>
        </w:tabs>
        <w:suppressAutoHyphens/>
        <w:jc w:val="both"/>
        <w:rPr>
          <w:rFonts w:ascii="Times New Roman" w:hAnsi="Times New Roman"/>
          <w:iCs/>
          <w:color w:val="auto"/>
          <w:spacing w:val="-3"/>
          <w:szCs w:val="22"/>
        </w:rPr>
      </w:pPr>
      <w:r w:rsidRPr="00506530">
        <w:rPr>
          <w:rFonts w:ascii="Times New Roman" w:hAnsi="Times New Roman"/>
          <w:color w:val="auto"/>
          <w:spacing w:val="-3"/>
          <w:szCs w:val="22"/>
        </w:rPr>
        <w:t>Correo electrónico: arivera@igm.gob.gt</w:t>
      </w:r>
    </w:p>
    <w:p w14:paraId="6CBBF182" w14:textId="77777777" w:rsidR="00F0016E" w:rsidRPr="00506530" w:rsidRDefault="00F0016E" w:rsidP="00F0016E">
      <w:pPr>
        <w:tabs>
          <w:tab w:val="left" w:pos="360"/>
        </w:tabs>
        <w:ind w:left="360" w:hanging="360"/>
        <w:jc w:val="both"/>
        <w:rPr>
          <w:rFonts w:ascii="Times New Roman" w:hAnsi="Times New Roman"/>
          <w:b/>
          <w:snapToGrid w:val="0"/>
          <w:color w:val="auto"/>
          <w:szCs w:val="22"/>
        </w:rPr>
      </w:pPr>
    </w:p>
    <w:p w14:paraId="012CFBC5" w14:textId="77777777" w:rsidR="00F0016E" w:rsidRPr="00506530" w:rsidRDefault="00F0016E" w:rsidP="00F0016E">
      <w:pPr>
        <w:numPr>
          <w:ilvl w:val="0"/>
          <w:numId w:val="1"/>
        </w:numPr>
        <w:jc w:val="both"/>
        <w:rPr>
          <w:rFonts w:ascii="Times New Roman" w:hAnsi="Times New Roman"/>
          <w:b/>
          <w:snapToGrid w:val="0"/>
          <w:color w:val="auto"/>
          <w:szCs w:val="22"/>
        </w:rPr>
      </w:pPr>
      <w:r w:rsidRPr="00506530">
        <w:rPr>
          <w:rFonts w:ascii="Times New Roman" w:hAnsi="Times New Roman"/>
          <w:b/>
          <w:color w:val="auto"/>
          <w:szCs w:val="22"/>
        </w:rPr>
        <w:t xml:space="preserve">Solución de conflictos </w:t>
      </w:r>
    </w:p>
    <w:p w14:paraId="35C36BA4" w14:textId="77777777" w:rsidR="00F0016E" w:rsidRPr="00506530" w:rsidRDefault="00F0016E" w:rsidP="00F0016E">
      <w:pPr>
        <w:pStyle w:val="Sangra2detindependiente"/>
        <w:jc w:val="both"/>
        <w:rPr>
          <w:rFonts w:ascii="Times New Roman" w:hAnsi="Times New Roman"/>
          <w:color w:val="auto"/>
          <w:szCs w:val="22"/>
        </w:rPr>
      </w:pPr>
    </w:p>
    <w:p w14:paraId="25053977" w14:textId="5F658BAD" w:rsidR="00F0016E" w:rsidRPr="00973E60" w:rsidRDefault="00F0016E" w:rsidP="00D716BA">
      <w:pPr>
        <w:numPr>
          <w:ilvl w:val="1"/>
          <w:numId w:val="1"/>
        </w:numPr>
        <w:ind w:left="450" w:hanging="450"/>
        <w:jc w:val="both"/>
        <w:rPr>
          <w:rFonts w:ascii="Times New Roman" w:hAnsi="Times New Roman"/>
          <w:color w:val="auto"/>
          <w:szCs w:val="22"/>
        </w:rPr>
      </w:pPr>
      <w:bookmarkStart w:id="3" w:name="OLE_LINK16"/>
      <w:r w:rsidRPr="00973E60">
        <w:rPr>
          <w:rFonts w:ascii="Times New Roman" w:hAnsi="Times New Roman"/>
          <w:color w:val="auto"/>
          <w:szCs w:val="22"/>
        </w:rPr>
        <w:t>Cualquier disputa, controversia o reclamo que surja de o en relación con este Acuerdo, o el incumplimiento, terminación o invalidez de este, se resolverá amistosamente mediante negociación entre las Partes. Las Partes elevarán la discusión a sus representantes, firmantes de este Acuerdo, para su resolución final, sin posibilidad de cualquier recu</w:t>
      </w:r>
      <w:r w:rsidR="003E34C3" w:rsidRPr="00973E60">
        <w:rPr>
          <w:rFonts w:ascii="Times New Roman" w:hAnsi="Times New Roman"/>
          <w:color w:val="auto"/>
          <w:szCs w:val="22"/>
        </w:rPr>
        <w:t>r</w:t>
      </w:r>
      <w:r w:rsidRPr="00973E60">
        <w:rPr>
          <w:rFonts w:ascii="Times New Roman" w:hAnsi="Times New Roman"/>
          <w:color w:val="auto"/>
          <w:szCs w:val="22"/>
        </w:rPr>
        <w:t xml:space="preserve">so ante tribunales </w:t>
      </w:r>
      <w:r w:rsidR="0089315F" w:rsidRPr="00973E60">
        <w:rPr>
          <w:rFonts w:ascii="Times New Roman" w:hAnsi="Times New Roman"/>
          <w:color w:val="auto"/>
          <w:szCs w:val="22"/>
        </w:rPr>
        <w:t>nacionales, internacionales</w:t>
      </w:r>
      <w:r w:rsidRPr="00973E60">
        <w:rPr>
          <w:rFonts w:ascii="Times New Roman" w:hAnsi="Times New Roman"/>
          <w:color w:val="auto"/>
          <w:szCs w:val="22"/>
        </w:rPr>
        <w:t xml:space="preserve"> o cualquier tercera parte. Ambas Partes mantendrán la confidencialidad en la solución de controversias. </w:t>
      </w:r>
    </w:p>
    <w:p w14:paraId="547A42BA" w14:textId="77777777" w:rsidR="00F0016E" w:rsidRPr="00973E60" w:rsidRDefault="00F0016E" w:rsidP="00D716BA">
      <w:pPr>
        <w:ind w:left="450" w:hanging="450"/>
        <w:jc w:val="both"/>
        <w:rPr>
          <w:rFonts w:ascii="Times New Roman" w:hAnsi="Times New Roman"/>
          <w:color w:val="auto"/>
          <w:szCs w:val="22"/>
        </w:rPr>
      </w:pPr>
      <w:r w:rsidRPr="00973E60">
        <w:rPr>
          <w:rFonts w:ascii="Times New Roman" w:hAnsi="Times New Roman"/>
          <w:color w:val="auto"/>
          <w:szCs w:val="22"/>
        </w:rPr>
        <w:t xml:space="preserve">  </w:t>
      </w:r>
    </w:p>
    <w:p w14:paraId="715EB1C2" w14:textId="77777777" w:rsidR="00F0016E" w:rsidRPr="00BC3EAD" w:rsidRDefault="00F0016E" w:rsidP="00D716BA">
      <w:pPr>
        <w:numPr>
          <w:ilvl w:val="1"/>
          <w:numId w:val="1"/>
        </w:numPr>
        <w:ind w:left="450" w:hanging="450"/>
        <w:jc w:val="both"/>
        <w:rPr>
          <w:rFonts w:ascii="Times New Roman" w:hAnsi="Times New Roman"/>
          <w:color w:val="FF0000"/>
          <w:szCs w:val="22"/>
        </w:rPr>
      </w:pPr>
      <w:r w:rsidRPr="00973E60">
        <w:rPr>
          <w:rFonts w:ascii="Times New Roman" w:hAnsi="Times New Roman"/>
          <w:color w:val="auto"/>
          <w:szCs w:val="22"/>
          <w:lang w:val="es-ES_tradnl"/>
        </w:rPr>
        <w:t xml:space="preserve">El presente </w:t>
      </w:r>
      <w:r w:rsidRPr="00973E60">
        <w:rPr>
          <w:rFonts w:ascii="Times New Roman" w:hAnsi="Times New Roman"/>
          <w:color w:val="auto"/>
          <w:szCs w:val="22"/>
          <w:lang w:val="es-PA"/>
        </w:rPr>
        <w:t>Acuerdo</w:t>
      </w:r>
      <w:r w:rsidRPr="00973E60">
        <w:rPr>
          <w:rFonts w:ascii="Times New Roman" w:hAnsi="Times New Roman"/>
          <w:color w:val="auto"/>
          <w:szCs w:val="22"/>
          <w:lang w:val="es-ES_tradnl"/>
        </w:rPr>
        <w:t>, se regirá por los términos que el mismo estipula, complementados por los principios generales del derecho aceptados internacionalmente para los asuntos que no estén cubiertos por el Acuerdo, con exclusión de cualquier sistema jurídico nacional individual que someta el Acuerdo a las leyes de una jurisdicción específica</w:t>
      </w:r>
      <w:r w:rsidRPr="00973E60">
        <w:rPr>
          <w:rFonts w:ascii="Times New Roman" w:hAnsi="Times New Roman"/>
          <w:color w:val="auto"/>
          <w:szCs w:val="22"/>
        </w:rPr>
        <w:t>. Se considerará que los principios generales del derecho aceptados internacionalmente comprenden los Principios UNIDROIT sobre los Contratos Comerciales Internacionales. Ambas Partes mantendrán la confidencialidad en la solución de controversias. Esta Cláusula permanecerá vigente tras el vencimiento o la rescisión del presente Acuerdo</w:t>
      </w:r>
      <w:bookmarkEnd w:id="3"/>
      <w:r w:rsidRPr="00973E60">
        <w:rPr>
          <w:rFonts w:ascii="Times New Roman" w:hAnsi="Times New Roman"/>
          <w:color w:val="auto"/>
          <w:szCs w:val="22"/>
        </w:rPr>
        <w:t xml:space="preserve">. </w:t>
      </w:r>
    </w:p>
    <w:p w14:paraId="58D657A9" w14:textId="77777777" w:rsidR="00F0016E" w:rsidRPr="00506530" w:rsidRDefault="00F0016E" w:rsidP="00F0016E">
      <w:pPr>
        <w:ind w:left="-180"/>
        <w:jc w:val="both"/>
        <w:rPr>
          <w:rFonts w:ascii="Times New Roman" w:hAnsi="Times New Roman"/>
          <w:color w:val="auto"/>
          <w:szCs w:val="22"/>
        </w:rPr>
      </w:pPr>
    </w:p>
    <w:p w14:paraId="31EDD5B9" w14:textId="77777777" w:rsidR="00F0016E" w:rsidRPr="00506530" w:rsidRDefault="00F0016E" w:rsidP="00F0016E">
      <w:pPr>
        <w:numPr>
          <w:ilvl w:val="0"/>
          <w:numId w:val="1"/>
        </w:numPr>
        <w:jc w:val="both"/>
        <w:rPr>
          <w:rFonts w:ascii="Times New Roman" w:hAnsi="Times New Roman"/>
          <w:color w:val="auto"/>
          <w:szCs w:val="22"/>
        </w:rPr>
      </w:pPr>
      <w:r w:rsidRPr="00506530">
        <w:rPr>
          <w:rFonts w:ascii="Times New Roman" w:hAnsi="Times New Roman"/>
          <w:b/>
          <w:bCs/>
          <w:color w:val="auto"/>
          <w:szCs w:val="22"/>
        </w:rPr>
        <w:t>Utilización</w:t>
      </w:r>
      <w:r w:rsidRPr="00506530">
        <w:rPr>
          <w:rFonts w:ascii="Times New Roman" w:hAnsi="Times New Roman"/>
          <w:b/>
          <w:color w:val="auto"/>
          <w:szCs w:val="22"/>
        </w:rPr>
        <w:t xml:space="preserve"> del nombre, abreviatura y emblema de la OIM</w:t>
      </w:r>
      <w:r w:rsidRPr="00506530">
        <w:rPr>
          <w:rFonts w:ascii="Times New Roman" w:hAnsi="Times New Roman"/>
          <w:color w:val="auto"/>
          <w:szCs w:val="22"/>
        </w:rPr>
        <w:t xml:space="preserve"> </w:t>
      </w:r>
    </w:p>
    <w:p w14:paraId="0C2CE032" w14:textId="77777777" w:rsidR="00F0016E" w:rsidRPr="00506530" w:rsidRDefault="00F0016E" w:rsidP="00F0016E">
      <w:pPr>
        <w:pStyle w:val="Sangradetextonormal"/>
        <w:ind w:left="-180"/>
        <w:jc w:val="both"/>
        <w:rPr>
          <w:rFonts w:ascii="Times New Roman" w:hAnsi="Times New Roman"/>
          <w:snapToGrid/>
          <w:color w:val="auto"/>
          <w:szCs w:val="22"/>
        </w:rPr>
      </w:pPr>
    </w:p>
    <w:p w14:paraId="30A1844E" w14:textId="77777777" w:rsidR="00F0016E" w:rsidRPr="00506530" w:rsidRDefault="00F0016E" w:rsidP="00D716BA">
      <w:pPr>
        <w:numPr>
          <w:ilvl w:val="1"/>
          <w:numId w:val="1"/>
        </w:numPr>
        <w:ind w:left="450" w:hanging="450"/>
        <w:jc w:val="both"/>
        <w:rPr>
          <w:rFonts w:ascii="Times New Roman" w:hAnsi="Times New Roman"/>
          <w:color w:val="auto"/>
          <w:szCs w:val="22"/>
        </w:rPr>
      </w:pPr>
      <w:r w:rsidRPr="00506530">
        <w:rPr>
          <w:rFonts w:ascii="Times New Roman" w:hAnsi="Times New Roman"/>
          <w:color w:val="auto"/>
          <w:szCs w:val="22"/>
        </w:rPr>
        <w:t xml:space="preserve">El IGM podrá utilizar el logotipo y el nombre oficiales de la OIM únicamente en relación con la iniciativa, previa autorización por escrito de la OIM. </w:t>
      </w:r>
    </w:p>
    <w:p w14:paraId="3F5D6945" w14:textId="77777777" w:rsidR="00F0016E" w:rsidRPr="00506530" w:rsidRDefault="00F0016E" w:rsidP="00D716BA">
      <w:pPr>
        <w:pStyle w:val="Sangradetextonormal"/>
        <w:ind w:left="-180" w:hanging="450"/>
        <w:jc w:val="both"/>
        <w:rPr>
          <w:rFonts w:ascii="Times New Roman" w:hAnsi="Times New Roman"/>
          <w:snapToGrid/>
          <w:color w:val="auto"/>
          <w:szCs w:val="22"/>
        </w:rPr>
      </w:pPr>
    </w:p>
    <w:p w14:paraId="7D9C5A19" w14:textId="77777777" w:rsidR="00F0016E" w:rsidRPr="00506530" w:rsidRDefault="00F0016E" w:rsidP="00D716BA">
      <w:pPr>
        <w:numPr>
          <w:ilvl w:val="1"/>
          <w:numId w:val="1"/>
        </w:numPr>
        <w:ind w:left="450" w:hanging="450"/>
        <w:jc w:val="both"/>
        <w:rPr>
          <w:rFonts w:ascii="Times New Roman" w:hAnsi="Times New Roman"/>
          <w:color w:val="auto"/>
          <w:szCs w:val="22"/>
        </w:rPr>
      </w:pPr>
      <w:r w:rsidRPr="00506530">
        <w:rPr>
          <w:rFonts w:ascii="Times New Roman" w:hAnsi="Times New Roman"/>
          <w:color w:val="auto"/>
          <w:szCs w:val="22"/>
        </w:rPr>
        <w:t xml:space="preserve">El IGM deberá reconocer la contribución de la OIM y </w:t>
      </w:r>
      <w:r w:rsidRPr="00506530">
        <w:rPr>
          <w:rFonts w:ascii="Times New Roman" w:hAnsi="Times New Roman"/>
          <w:color w:val="000000"/>
          <w:szCs w:val="22"/>
        </w:rPr>
        <w:t xml:space="preserve">de la Agencia de los Estados Unidos para el Desarrollo Internacional (USAID) </w:t>
      </w:r>
      <w:r w:rsidRPr="00506530">
        <w:rPr>
          <w:rFonts w:ascii="Times New Roman" w:hAnsi="Times New Roman"/>
          <w:color w:val="auto"/>
          <w:szCs w:val="22"/>
        </w:rPr>
        <w:t xml:space="preserve">a la iniciativa en asuntos relacionados con la implementación del Proyecto. </w:t>
      </w:r>
    </w:p>
    <w:p w14:paraId="72396FB5" w14:textId="77777777" w:rsidR="00F0016E" w:rsidRPr="00506530" w:rsidRDefault="00F0016E" w:rsidP="00D716BA">
      <w:pPr>
        <w:pStyle w:val="Sangradetextonormal"/>
        <w:ind w:left="-180" w:hanging="450"/>
        <w:jc w:val="both"/>
        <w:rPr>
          <w:rFonts w:ascii="Times New Roman" w:hAnsi="Times New Roman"/>
          <w:snapToGrid/>
          <w:color w:val="auto"/>
          <w:szCs w:val="22"/>
        </w:rPr>
      </w:pPr>
    </w:p>
    <w:p w14:paraId="207F720F" w14:textId="77777777" w:rsidR="00F0016E" w:rsidRPr="00506530" w:rsidRDefault="00F0016E" w:rsidP="00D716BA">
      <w:pPr>
        <w:numPr>
          <w:ilvl w:val="1"/>
          <w:numId w:val="1"/>
        </w:numPr>
        <w:ind w:left="450" w:hanging="450"/>
        <w:jc w:val="both"/>
        <w:rPr>
          <w:rFonts w:ascii="Times New Roman" w:hAnsi="Times New Roman"/>
          <w:color w:val="auto"/>
          <w:szCs w:val="22"/>
        </w:rPr>
      </w:pPr>
      <w:r w:rsidRPr="00506530">
        <w:rPr>
          <w:rFonts w:ascii="Times New Roman" w:hAnsi="Times New Roman"/>
          <w:color w:val="auto"/>
          <w:szCs w:val="22"/>
        </w:rPr>
        <w:t>El IGM reconoce que el uso del nombre, la abreviatura y el emblema de la OIM está estrictamente reservado para los fines oficiales de la OIM y está protegido contra el uso no autorizado por el Artículo 6ter del Convenio de París para la Protección de la Propiedad Industrial, revisado en Estocolmo en 1967 [828 UNTS 305 (1972)].</w:t>
      </w:r>
    </w:p>
    <w:p w14:paraId="5447744D" w14:textId="77777777" w:rsidR="00F0016E" w:rsidRPr="00506530" w:rsidRDefault="00F0016E" w:rsidP="00F0016E">
      <w:pPr>
        <w:pStyle w:val="Textoindependiente"/>
        <w:tabs>
          <w:tab w:val="left" w:pos="0"/>
        </w:tabs>
        <w:jc w:val="both"/>
        <w:rPr>
          <w:rFonts w:ascii="Times New Roman" w:hAnsi="Times New Roman"/>
          <w:b/>
          <w:snapToGrid w:val="0"/>
          <w:color w:val="auto"/>
          <w:szCs w:val="22"/>
        </w:rPr>
      </w:pPr>
    </w:p>
    <w:p w14:paraId="5445996B" w14:textId="77777777" w:rsidR="00F0016E" w:rsidRPr="00506530" w:rsidRDefault="00F0016E" w:rsidP="00F0016E">
      <w:pPr>
        <w:numPr>
          <w:ilvl w:val="0"/>
          <w:numId w:val="1"/>
        </w:numPr>
        <w:jc w:val="both"/>
        <w:rPr>
          <w:rFonts w:ascii="Times New Roman" w:hAnsi="Times New Roman"/>
          <w:b/>
          <w:snapToGrid w:val="0"/>
          <w:color w:val="auto"/>
          <w:szCs w:val="22"/>
        </w:rPr>
      </w:pPr>
      <w:r w:rsidRPr="00506530">
        <w:rPr>
          <w:rFonts w:ascii="Times New Roman" w:hAnsi="Times New Roman"/>
          <w:b/>
          <w:bCs/>
          <w:color w:val="auto"/>
          <w:szCs w:val="22"/>
        </w:rPr>
        <w:lastRenderedPageBreak/>
        <w:t>Estatus d</w:t>
      </w:r>
      <w:r w:rsidRPr="00506530">
        <w:rPr>
          <w:rFonts w:ascii="Times New Roman" w:hAnsi="Times New Roman"/>
          <w:b/>
          <w:color w:val="auto"/>
          <w:szCs w:val="22"/>
        </w:rPr>
        <w:t>e la OIM</w:t>
      </w:r>
    </w:p>
    <w:p w14:paraId="0D1B89D9" w14:textId="77777777" w:rsidR="00F0016E" w:rsidRPr="00506530" w:rsidRDefault="00F0016E" w:rsidP="00F0016E">
      <w:pPr>
        <w:pStyle w:val="Textoindependiente"/>
        <w:tabs>
          <w:tab w:val="left" w:pos="0"/>
          <w:tab w:val="left" w:pos="426"/>
        </w:tabs>
        <w:jc w:val="both"/>
        <w:rPr>
          <w:rFonts w:ascii="Times New Roman" w:hAnsi="Times New Roman"/>
          <w:snapToGrid w:val="0"/>
          <w:color w:val="auto"/>
          <w:szCs w:val="22"/>
        </w:rPr>
      </w:pPr>
    </w:p>
    <w:p w14:paraId="7483F37D" w14:textId="77777777" w:rsidR="00F0016E" w:rsidRPr="00506530" w:rsidRDefault="00F0016E" w:rsidP="00F0016E">
      <w:pPr>
        <w:pStyle w:val="Textoindependiente"/>
        <w:tabs>
          <w:tab w:val="left" w:pos="0"/>
          <w:tab w:val="left" w:pos="426"/>
        </w:tabs>
        <w:jc w:val="both"/>
        <w:rPr>
          <w:rFonts w:ascii="Times New Roman" w:hAnsi="Times New Roman"/>
          <w:snapToGrid w:val="0"/>
          <w:color w:val="auto"/>
          <w:szCs w:val="22"/>
        </w:rPr>
      </w:pPr>
      <w:r w:rsidRPr="00506530">
        <w:rPr>
          <w:rFonts w:ascii="Times New Roman" w:hAnsi="Times New Roman"/>
          <w:color w:val="auto"/>
          <w:szCs w:val="22"/>
          <w:lang w:val="es-ES_tradnl"/>
        </w:rPr>
        <w:t>Nada de lo dispuesto en el presente Acuerdo, o que esté relacionado con él, se podrá considerar una renuncia explícita o implícita de cualquiera de los privilegios e inmunidades de la OIM en su calidad de organización intergubernamental</w:t>
      </w:r>
      <w:r w:rsidRPr="00506530">
        <w:rPr>
          <w:rFonts w:ascii="Times New Roman" w:hAnsi="Times New Roman"/>
          <w:color w:val="auto"/>
          <w:szCs w:val="22"/>
        </w:rPr>
        <w:t xml:space="preserve">. </w:t>
      </w:r>
    </w:p>
    <w:p w14:paraId="05210251" w14:textId="77777777" w:rsidR="00F0016E" w:rsidRPr="00506530" w:rsidRDefault="00F0016E" w:rsidP="00F0016E">
      <w:pPr>
        <w:pStyle w:val="Textoindependiente"/>
        <w:tabs>
          <w:tab w:val="left" w:pos="0"/>
        </w:tabs>
        <w:jc w:val="both"/>
        <w:rPr>
          <w:rFonts w:ascii="Times New Roman" w:hAnsi="Times New Roman"/>
          <w:b/>
          <w:snapToGrid w:val="0"/>
          <w:color w:val="auto"/>
          <w:szCs w:val="22"/>
        </w:rPr>
      </w:pPr>
    </w:p>
    <w:p w14:paraId="5E62934C" w14:textId="77777777" w:rsidR="00F0016E" w:rsidRPr="00506530" w:rsidRDefault="00F0016E" w:rsidP="00F0016E">
      <w:pPr>
        <w:numPr>
          <w:ilvl w:val="0"/>
          <w:numId w:val="1"/>
        </w:numPr>
        <w:jc w:val="both"/>
        <w:rPr>
          <w:rFonts w:ascii="Times New Roman" w:hAnsi="Times New Roman"/>
          <w:bCs/>
          <w:snapToGrid w:val="0"/>
          <w:color w:val="auto"/>
          <w:szCs w:val="22"/>
        </w:rPr>
      </w:pPr>
      <w:r w:rsidRPr="00506530">
        <w:rPr>
          <w:rFonts w:ascii="Times New Roman" w:hAnsi="Times New Roman"/>
          <w:b/>
          <w:color w:val="auto"/>
          <w:szCs w:val="22"/>
        </w:rPr>
        <w:t>Indemnidad</w:t>
      </w:r>
      <w:r w:rsidRPr="00506530">
        <w:rPr>
          <w:rFonts w:ascii="Times New Roman" w:hAnsi="Times New Roman"/>
          <w:bCs/>
          <w:snapToGrid w:val="0"/>
          <w:color w:val="auto"/>
          <w:szCs w:val="22"/>
        </w:rPr>
        <w:t xml:space="preserve"> </w:t>
      </w:r>
    </w:p>
    <w:p w14:paraId="06B9BB75" w14:textId="77777777" w:rsidR="00F0016E" w:rsidRPr="00506530" w:rsidRDefault="00F0016E" w:rsidP="00F0016E">
      <w:pPr>
        <w:pStyle w:val="Textoindependiente"/>
        <w:tabs>
          <w:tab w:val="left" w:pos="0"/>
        </w:tabs>
        <w:jc w:val="both"/>
        <w:rPr>
          <w:rFonts w:ascii="Times New Roman" w:hAnsi="Times New Roman"/>
          <w:b/>
          <w:snapToGrid w:val="0"/>
          <w:color w:val="auto"/>
          <w:szCs w:val="22"/>
        </w:rPr>
      </w:pPr>
    </w:p>
    <w:p w14:paraId="1E5919C0" w14:textId="062340CA" w:rsidR="00F0016E" w:rsidRPr="00506530" w:rsidRDefault="00F0016E" w:rsidP="0078647A">
      <w:pPr>
        <w:numPr>
          <w:ilvl w:val="1"/>
          <w:numId w:val="1"/>
        </w:numPr>
        <w:ind w:left="450" w:hanging="450"/>
        <w:jc w:val="both"/>
        <w:rPr>
          <w:rFonts w:ascii="Times New Roman" w:hAnsi="Times New Roman"/>
          <w:bCs/>
          <w:snapToGrid w:val="0"/>
          <w:color w:val="auto"/>
          <w:szCs w:val="22"/>
        </w:rPr>
      </w:pPr>
      <w:r w:rsidRPr="00506530">
        <w:rPr>
          <w:rFonts w:ascii="Times New Roman" w:hAnsi="Times New Roman"/>
          <w:bCs/>
          <w:snapToGrid w:val="0"/>
          <w:color w:val="auto"/>
          <w:szCs w:val="22"/>
        </w:rPr>
        <w:t>El IGM deberá informar a la OIM</w:t>
      </w:r>
      <w:r w:rsidR="00257394" w:rsidRPr="00506530">
        <w:rPr>
          <w:rFonts w:ascii="Times New Roman" w:hAnsi="Times New Roman"/>
          <w:bCs/>
          <w:snapToGrid w:val="0"/>
          <w:color w:val="auto"/>
          <w:szCs w:val="22"/>
        </w:rPr>
        <w:t xml:space="preserve"> </w:t>
      </w:r>
      <w:r w:rsidRPr="00506530">
        <w:rPr>
          <w:rFonts w:ascii="Times New Roman" w:hAnsi="Times New Roman"/>
          <w:bCs/>
          <w:snapToGrid w:val="0"/>
          <w:color w:val="auto"/>
          <w:szCs w:val="22"/>
        </w:rPr>
        <w:t>de cualquier pérdida, costo, daño</w:t>
      </w:r>
      <w:r w:rsidR="00924339" w:rsidRPr="00506530">
        <w:rPr>
          <w:rFonts w:ascii="Times New Roman" w:hAnsi="Times New Roman"/>
          <w:bCs/>
          <w:snapToGrid w:val="0"/>
          <w:color w:val="auto"/>
          <w:szCs w:val="22"/>
        </w:rPr>
        <w:t>,</w:t>
      </w:r>
      <w:r w:rsidRPr="00506530">
        <w:rPr>
          <w:rFonts w:ascii="Times New Roman" w:hAnsi="Times New Roman"/>
          <w:bCs/>
          <w:snapToGrid w:val="0"/>
          <w:color w:val="auto"/>
          <w:szCs w:val="22"/>
        </w:rPr>
        <w:t xml:space="preserve"> gasto (incluidos gastos y honorarios jurídicos)</w:t>
      </w:r>
      <w:r w:rsidR="00924339" w:rsidRPr="00506530">
        <w:rPr>
          <w:rFonts w:ascii="Times New Roman" w:hAnsi="Times New Roman"/>
          <w:bCs/>
          <w:snapToGrid w:val="0"/>
          <w:color w:val="auto"/>
          <w:szCs w:val="22"/>
        </w:rPr>
        <w:t xml:space="preserve"> así como de las</w:t>
      </w:r>
      <w:r w:rsidRPr="00506530">
        <w:rPr>
          <w:rFonts w:ascii="Times New Roman" w:hAnsi="Times New Roman"/>
          <w:bCs/>
          <w:snapToGrid w:val="0"/>
          <w:color w:val="auto"/>
          <w:szCs w:val="22"/>
        </w:rPr>
        <w:t xml:space="preserve"> reclamaciones, pleitos y responsabilidades en que incurran sus funcionarios, en la medida en que provengan o resulten de las actividades realizadas en el marco del presente Acuerdo. </w:t>
      </w:r>
    </w:p>
    <w:p w14:paraId="5B3D8E99" w14:textId="77777777" w:rsidR="00F0016E" w:rsidRPr="00506530" w:rsidRDefault="00F0016E" w:rsidP="0078647A">
      <w:pPr>
        <w:pStyle w:val="Textoindependiente"/>
        <w:tabs>
          <w:tab w:val="left" w:pos="0"/>
        </w:tabs>
        <w:ind w:hanging="450"/>
        <w:jc w:val="both"/>
        <w:rPr>
          <w:rFonts w:ascii="Times New Roman" w:hAnsi="Times New Roman"/>
          <w:bCs/>
          <w:snapToGrid w:val="0"/>
          <w:color w:val="auto"/>
          <w:szCs w:val="22"/>
        </w:rPr>
      </w:pPr>
    </w:p>
    <w:p w14:paraId="63947818" w14:textId="77777777" w:rsidR="00F0016E" w:rsidRPr="00506530" w:rsidRDefault="00F0016E" w:rsidP="0078647A">
      <w:pPr>
        <w:numPr>
          <w:ilvl w:val="1"/>
          <w:numId w:val="1"/>
        </w:numPr>
        <w:ind w:left="450" w:hanging="450"/>
        <w:jc w:val="both"/>
        <w:rPr>
          <w:rFonts w:ascii="Times New Roman" w:hAnsi="Times New Roman"/>
          <w:bCs/>
          <w:snapToGrid w:val="0"/>
          <w:color w:val="auto"/>
          <w:szCs w:val="22"/>
        </w:rPr>
      </w:pPr>
      <w:r w:rsidRPr="00506530">
        <w:rPr>
          <w:rFonts w:ascii="Times New Roman" w:hAnsi="Times New Roman"/>
          <w:bCs/>
          <w:snapToGrid w:val="0"/>
          <w:color w:val="auto"/>
          <w:szCs w:val="22"/>
        </w:rPr>
        <w:t>La OIM deberá notificar prontamente al IGM de cualquier reclamación, pérdida o demanda presentada por escrito de que fuera responsable el IGM en virtud de esta cláusula.</w:t>
      </w:r>
    </w:p>
    <w:p w14:paraId="51D01BDE" w14:textId="77777777" w:rsidR="00F0016E" w:rsidRPr="00506530" w:rsidRDefault="00F0016E" w:rsidP="00F0016E">
      <w:pPr>
        <w:jc w:val="both"/>
        <w:rPr>
          <w:rFonts w:ascii="Times New Roman" w:hAnsi="Times New Roman"/>
          <w:b/>
          <w:snapToGrid w:val="0"/>
          <w:color w:val="auto"/>
          <w:szCs w:val="22"/>
        </w:rPr>
      </w:pPr>
    </w:p>
    <w:p w14:paraId="37C9E3BF" w14:textId="77777777" w:rsidR="00F0016E" w:rsidRPr="00506530" w:rsidRDefault="00F0016E" w:rsidP="00F0016E">
      <w:pPr>
        <w:numPr>
          <w:ilvl w:val="0"/>
          <w:numId w:val="1"/>
        </w:numPr>
        <w:jc w:val="both"/>
        <w:rPr>
          <w:rFonts w:ascii="Times New Roman" w:hAnsi="Times New Roman"/>
          <w:b/>
          <w:color w:val="auto"/>
          <w:szCs w:val="22"/>
        </w:rPr>
      </w:pPr>
      <w:r w:rsidRPr="00506530">
        <w:rPr>
          <w:rFonts w:ascii="Times New Roman" w:hAnsi="Times New Roman"/>
          <w:b/>
          <w:color w:val="auto"/>
          <w:szCs w:val="22"/>
        </w:rPr>
        <w:t>Exención de obligaciones</w:t>
      </w:r>
    </w:p>
    <w:p w14:paraId="5732F6E5" w14:textId="77777777" w:rsidR="00F0016E" w:rsidRPr="00506530" w:rsidRDefault="00F0016E" w:rsidP="00F0016E">
      <w:pPr>
        <w:tabs>
          <w:tab w:val="left" w:pos="426"/>
        </w:tabs>
        <w:jc w:val="both"/>
        <w:rPr>
          <w:rFonts w:ascii="Times New Roman" w:hAnsi="Times New Roman"/>
          <w:snapToGrid w:val="0"/>
          <w:color w:val="auto"/>
          <w:szCs w:val="22"/>
        </w:rPr>
      </w:pPr>
    </w:p>
    <w:p w14:paraId="5936873B" w14:textId="77777777" w:rsidR="00F0016E" w:rsidRPr="00506530" w:rsidRDefault="00F0016E" w:rsidP="00F0016E">
      <w:pPr>
        <w:tabs>
          <w:tab w:val="left" w:pos="426"/>
        </w:tabs>
        <w:jc w:val="both"/>
        <w:rPr>
          <w:rFonts w:ascii="Times New Roman" w:hAnsi="Times New Roman"/>
          <w:snapToGrid w:val="0"/>
          <w:color w:val="auto"/>
          <w:szCs w:val="22"/>
        </w:rPr>
      </w:pPr>
      <w:r w:rsidRPr="00506530">
        <w:rPr>
          <w:rFonts w:ascii="Times New Roman" w:hAnsi="Times New Roman"/>
          <w:color w:val="auto"/>
          <w:szCs w:val="22"/>
        </w:rPr>
        <w:t>El hecho de que ninguna de las Partes insista en una o más instancias sobre el estricto cumplimiento de cualquiera de las disposiciones del presente Acuerdo no constituirá una exoneración o renuncia del derecho a aplicar las disposiciones del presente Acuerdo en futuras instancias, por ende, este derecho continuará y seguirá estando en vigor y siendo plenamente efectivo.</w:t>
      </w:r>
    </w:p>
    <w:p w14:paraId="1BEECCAF" w14:textId="77777777" w:rsidR="00F0016E" w:rsidRPr="00506530" w:rsidRDefault="00F0016E" w:rsidP="00F0016E">
      <w:pPr>
        <w:tabs>
          <w:tab w:val="left" w:pos="426"/>
        </w:tabs>
        <w:jc w:val="both"/>
        <w:rPr>
          <w:rFonts w:ascii="Times New Roman" w:hAnsi="Times New Roman"/>
          <w:snapToGrid w:val="0"/>
          <w:color w:val="auto"/>
          <w:szCs w:val="22"/>
        </w:rPr>
      </w:pPr>
    </w:p>
    <w:p w14:paraId="332F1EC8" w14:textId="77777777" w:rsidR="00F0016E" w:rsidRPr="00506530" w:rsidRDefault="00F0016E" w:rsidP="00F0016E">
      <w:pPr>
        <w:numPr>
          <w:ilvl w:val="0"/>
          <w:numId w:val="1"/>
        </w:numPr>
        <w:jc w:val="both"/>
        <w:rPr>
          <w:rFonts w:ascii="Times New Roman" w:hAnsi="Times New Roman"/>
          <w:b/>
          <w:bCs/>
          <w:snapToGrid w:val="0"/>
          <w:color w:val="auto"/>
          <w:szCs w:val="22"/>
        </w:rPr>
      </w:pPr>
      <w:r w:rsidRPr="00506530">
        <w:rPr>
          <w:rFonts w:ascii="Times New Roman" w:hAnsi="Times New Roman"/>
          <w:b/>
          <w:bCs/>
          <w:color w:val="auto"/>
          <w:szCs w:val="22"/>
        </w:rPr>
        <w:t>Rescisión</w:t>
      </w:r>
    </w:p>
    <w:p w14:paraId="31BCA3E4" w14:textId="77777777" w:rsidR="00F0016E" w:rsidRPr="00506530" w:rsidRDefault="00F0016E" w:rsidP="00F0016E">
      <w:pPr>
        <w:pStyle w:val="Textoindependiente"/>
        <w:tabs>
          <w:tab w:val="left" w:pos="1080"/>
        </w:tabs>
        <w:ind w:left="540" w:hanging="720"/>
        <w:jc w:val="both"/>
        <w:rPr>
          <w:rFonts w:ascii="Times New Roman" w:hAnsi="Times New Roman"/>
          <w:snapToGrid w:val="0"/>
          <w:color w:val="auto"/>
          <w:szCs w:val="22"/>
        </w:rPr>
      </w:pPr>
    </w:p>
    <w:p w14:paraId="2CE83560" w14:textId="77777777" w:rsidR="00F0016E" w:rsidRPr="00506530" w:rsidRDefault="00F0016E" w:rsidP="0078647A">
      <w:pPr>
        <w:numPr>
          <w:ilvl w:val="1"/>
          <w:numId w:val="1"/>
        </w:numPr>
        <w:ind w:left="450" w:hanging="450"/>
        <w:jc w:val="both"/>
        <w:rPr>
          <w:rFonts w:ascii="Times New Roman" w:hAnsi="Times New Roman"/>
          <w:color w:val="auto"/>
          <w:szCs w:val="22"/>
        </w:rPr>
      </w:pPr>
      <w:r w:rsidRPr="00506530">
        <w:rPr>
          <w:rFonts w:ascii="Times New Roman" w:hAnsi="Times New Roman"/>
          <w:color w:val="auto"/>
          <w:szCs w:val="22"/>
        </w:rPr>
        <w:t xml:space="preserve">El presente Acuerdo podrá ser rescindido o suspendido mediante una notificación, previa y por escrito, enviada con al menos dos meses de antelación a la otra Parte. </w:t>
      </w:r>
    </w:p>
    <w:p w14:paraId="63546BA8" w14:textId="77777777" w:rsidR="00F0016E" w:rsidRPr="00506530" w:rsidRDefault="00F0016E" w:rsidP="0078647A">
      <w:pPr>
        <w:ind w:left="450" w:hanging="450"/>
        <w:jc w:val="both"/>
        <w:rPr>
          <w:rFonts w:ascii="Times New Roman" w:hAnsi="Times New Roman"/>
          <w:color w:val="auto"/>
          <w:szCs w:val="22"/>
        </w:rPr>
      </w:pPr>
    </w:p>
    <w:p w14:paraId="38B2E652" w14:textId="77777777" w:rsidR="00F0016E" w:rsidRPr="00506530" w:rsidRDefault="00F0016E" w:rsidP="0078647A">
      <w:pPr>
        <w:numPr>
          <w:ilvl w:val="1"/>
          <w:numId w:val="1"/>
        </w:numPr>
        <w:ind w:left="450" w:hanging="450"/>
        <w:jc w:val="both"/>
        <w:rPr>
          <w:rFonts w:ascii="Times New Roman" w:hAnsi="Times New Roman"/>
          <w:color w:val="auto"/>
          <w:szCs w:val="22"/>
        </w:rPr>
      </w:pPr>
      <w:r w:rsidRPr="00506530">
        <w:rPr>
          <w:rFonts w:ascii="Times New Roman" w:hAnsi="Times New Roman"/>
          <w:color w:val="auto"/>
          <w:szCs w:val="22"/>
        </w:rPr>
        <w:t>No obstante, cuando alguna de las Partes incumpla cualquier término o condición del presente Acuerdo, la otra Parte podrá rescindir el Acuerdo con efecto inmediato.</w:t>
      </w:r>
    </w:p>
    <w:p w14:paraId="423AACE8" w14:textId="77777777" w:rsidR="00F0016E" w:rsidRPr="00506530" w:rsidRDefault="00F0016E" w:rsidP="0078647A">
      <w:pPr>
        <w:pStyle w:val="Textoindependiente"/>
        <w:tabs>
          <w:tab w:val="left" w:pos="900"/>
          <w:tab w:val="left" w:pos="1080"/>
        </w:tabs>
        <w:ind w:left="540" w:hanging="450"/>
        <w:jc w:val="both"/>
        <w:rPr>
          <w:rFonts w:ascii="Times New Roman" w:hAnsi="Times New Roman"/>
          <w:color w:val="auto"/>
          <w:szCs w:val="22"/>
        </w:rPr>
      </w:pPr>
    </w:p>
    <w:p w14:paraId="6008274E" w14:textId="7699607F" w:rsidR="00F0016E" w:rsidRPr="00506530" w:rsidRDefault="00F0016E" w:rsidP="0078647A">
      <w:pPr>
        <w:numPr>
          <w:ilvl w:val="1"/>
          <w:numId w:val="1"/>
        </w:numPr>
        <w:ind w:left="450" w:hanging="450"/>
        <w:jc w:val="both"/>
        <w:rPr>
          <w:rFonts w:ascii="Times New Roman" w:hAnsi="Times New Roman"/>
          <w:snapToGrid w:val="0"/>
          <w:color w:val="auto"/>
          <w:szCs w:val="22"/>
        </w:rPr>
      </w:pPr>
      <w:r w:rsidRPr="00506530">
        <w:rPr>
          <w:rFonts w:ascii="Times New Roman" w:hAnsi="Times New Roman"/>
          <w:snapToGrid w:val="0"/>
          <w:color w:val="auto"/>
          <w:szCs w:val="22"/>
        </w:rPr>
        <w:t xml:space="preserve">En caso de rescisión, la OIM sólo pagará los gastos incurridos o a los que se haya comprometido de conformidad con el presente Acuerdo hasta la fecha de recibo de la notificación de rescisión, a menos que se haya acordado lo contrario. </w:t>
      </w:r>
    </w:p>
    <w:p w14:paraId="33D8D22C" w14:textId="77777777" w:rsidR="00F0016E" w:rsidRPr="00506530" w:rsidRDefault="00F0016E" w:rsidP="0078647A">
      <w:pPr>
        <w:pStyle w:val="Textoindependiente"/>
        <w:tabs>
          <w:tab w:val="left" w:pos="0"/>
          <w:tab w:val="left" w:pos="900"/>
          <w:tab w:val="left" w:pos="1080"/>
        </w:tabs>
        <w:ind w:hanging="450"/>
        <w:jc w:val="both"/>
        <w:rPr>
          <w:rFonts w:ascii="Times New Roman" w:hAnsi="Times New Roman"/>
          <w:snapToGrid w:val="0"/>
          <w:color w:val="auto"/>
          <w:szCs w:val="22"/>
        </w:rPr>
      </w:pPr>
    </w:p>
    <w:p w14:paraId="2003BEF9" w14:textId="77777777" w:rsidR="00F0016E" w:rsidRPr="00506530" w:rsidRDefault="00F0016E" w:rsidP="0078647A">
      <w:pPr>
        <w:numPr>
          <w:ilvl w:val="1"/>
          <w:numId w:val="1"/>
        </w:numPr>
        <w:tabs>
          <w:tab w:val="left" w:pos="0"/>
          <w:tab w:val="left" w:pos="900"/>
          <w:tab w:val="left" w:pos="1080"/>
        </w:tabs>
        <w:ind w:left="450" w:hanging="450"/>
        <w:jc w:val="both"/>
        <w:rPr>
          <w:rFonts w:ascii="Times New Roman" w:hAnsi="Times New Roman"/>
          <w:snapToGrid w:val="0"/>
          <w:color w:val="auto"/>
          <w:szCs w:val="22"/>
        </w:rPr>
      </w:pPr>
      <w:r w:rsidRPr="00506530">
        <w:rPr>
          <w:rFonts w:ascii="Times New Roman" w:hAnsi="Times New Roman"/>
          <w:snapToGrid w:val="0"/>
          <w:color w:val="auto"/>
          <w:szCs w:val="22"/>
        </w:rPr>
        <w:t>Los demás importes pagados por adelantado deberán ser reembolsados a la OIM en un plazo de dos meses a partir de la fecha de rescisión.</w:t>
      </w:r>
    </w:p>
    <w:p w14:paraId="4AC219E4" w14:textId="77777777" w:rsidR="00F0016E" w:rsidRPr="00506530" w:rsidRDefault="00F0016E" w:rsidP="0078647A">
      <w:pPr>
        <w:pStyle w:val="Textoindependiente"/>
        <w:tabs>
          <w:tab w:val="left" w:pos="0"/>
          <w:tab w:val="left" w:pos="900"/>
          <w:tab w:val="left" w:pos="1080"/>
        </w:tabs>
        <w:ind w:hanging="450"/>
        <w:jc w:val="both"/>
        <w:rPr>
          <w:rFonts w:ascii="Times New Roman" w:hAnsi="Times New Roman"/>
          <w:snapToGrid w:val="0"/>
          <w:color w:val="auto"/>
          <w:szCs w:val="22"/>
        </w:rPr>
      </w:pPr>
    </w:p>
    <w:p w14:paraId="13682BF4" w14:textId="77777777" w:rsidR="00F0016E" w:rsidRPr="00506530" w:rsidRDefault="00F0016E" w:rsidP="0078647A">
      <w:pPr>
        <w:numPr>
          <w:ilvl w:val="1"/>
          <w:numId w:val="1"/>
        </w:numPr>
        <w:tabs>
          <w:tab w:val="left" w:pos="0"/>
          <w:tab w:val="left" w:pos="900"/>
          <w:tab w:val="left" w:pos="1080"/>
        </w:tabs>
        <w:ind w:left="450" w:hanging="450"/>
        <w:jc w:val="both"/>
        <w:rPr>
          <w:rFonts w:ascii="Times New Roman" w:hAnsi="Times New Roman"/>
          <w:snapToGrid w:val="0"/>
          <w:color w:val="auto"/>
          <w:szCs w:val="22"/>
        </w:rPr>
      </w:pPr>
      <w:r w:rsidRPr="00506530">
        <w:rPr>
          <w:rFonts w:ascii="Times New Roman" w:hAnsi="Times New Roman"/>
          <w:snapToGrid w:val="0"/>
          <w:color w:val="auto"/>
          <w:szCs w:val="22"/>
        </w:rPr>
        <w:t xml:space="preserve">En caso de suspensión </w:t>
      </w:r>
      <w:r w:rsidRPr="00506530">
        <w:rPr>
          <w:rFonts w:ascii="Times New Roman" w:hAnsi="Times New Roman"/>
          <w:color w:val="auto"/>
          <w:szCs w:val="22"/>
        </w:rPr>
        <w:t>del</w:t>
      </w:r>
      <w:r w:rsidRPr="00506530">
        <w:rPr>
          <w:rFonts w:ascii="Times New Roman" w:hAnsi="Times New Roman"/>
          <w:snapToGrid w:val="0"/>
          <w:color w:val="auto"/>
          <w:szCs w:val="22"/>
        </w:rPr>
        <w:t xml:space="preserve"> presente Acuerdo, la OIM especificará por escrito el alcance de las actividades y/o entregas que se suspenderán. </w:t>
      </w:r>
    </w:p>
    <w:p w14:paraId="1E6AE73D" w14:textId="77777777" w:rsidR="00F0016E" w:rsidRPr="00506530" w:rsidRDefault="00F0016E" w:rsidP="0078647A">
      <w:pPr>
        <w:pStyle w:val="Textoindependiente"/>
        <w:tabs>
          <w:tab w:val="left" w:pos="0"/>
          <w:tab w:val="left" w:pos="900"/>
          <w:tab w:val="left" w:pos="1080"/>
        </w:tabs>
        <w:ind w:hanging="450"/>
        <w:jc w:val="both"/>
        <w:rPr>
          <w:rFonts w:ascii="Times New Roman" w:hAnsi="Times New Roman"/>
          <w:snapToGrid w:val="0"/>
          <w:color w:val="auto"/>
          <w:szCs w:val="22"/>
        </w:rPr>
      </w:pPr>
    </w:p>
    <w:p w14:paraId="0635E076" w14:textId="77777777" w:rsidR="00F0016E" w:rsidRPr="00506530" w:rsidRDefault="00F0016E" w:rsidP="0078647A">
      <w:pPr>
        <w:numPr>
          <w:ilvl w:val="1"/>
          <w:numId w:val="1"/>
        </w:numPr>
        <w:tabs>
          <w:tab w:val="left" w:pos="0"/>
          <w:tab w:val="left" w:pos="900"/>
          <w:tab w:val="left" w:pos="1080"/>
        </w:tabs>
        <w:ind w:left="450" w:hanging="450"/>
        <w:jc w:val="both"/>
        <w:rPr>
          <w:rFonts w:ascii="Times New Roman" w:hAnsi="Times New Roman"/>
          <w:snapToGrid w:val="0"/>
          <w:color w:val="auto"/>
          <w:szCs w:val="22"/>
        </w:rPr>
      </w:pPr>
      <w:r w:rsidRPr="00506530">
        <w:rPr>
          <w:rFonts w:ascii="Times New Roman" w:hAnsi="Times New Roman"/>
          <w:snapToGrid w:val="0"/>
          <w:color w:val="auto"/>
          <w:szCs w:val="22"/>
        </w:rPr>
        <w:t xml:space="preserve">Todos los demás </w:t>
      </w:r>
      <w:r w:rsidRPr="00506530">
        <w:rPr>
          <w:rFonts w:ascii="Times New Roman" w:hAnsi="Times New Roman"/>
          <w:color w:val="auto"/>
          <w:szCs w:val="22"/>
        </w:rPr>
        <w:t>derechos</w:t>
      </w:r>
      <w:r w:rsidRPr="00506530">
        <w:rPr>
          <w:rFonts w:ascii="Times New Roman" w:hAnsi="Times New Roman"/>
          <w:snapToGrid w:val="0"/>
          <w:color w:val="auto"/>
          <w:szCs w:val="22"/>
        </w:rPr>
        <w:t xml:space="preserve"> y obligaciones del presente Acuerdo seguirán siendo aplicables durante el período de suspensión. </w:t>
      </w:r>
    </w:p>
    <w:p w14:paraId="5BF0C56A" w14:textId="77777777" w:rsidR="00F0016E" w:rsidRPr="00506530" w:rsidRDefault="00F0016E" w:rsidP="0078647A">
      <w:pPr>
        <w:pStyle w:val="Textoindependiente"/>
        <w:tabs>
          <w:tab w:val="left" w:pos="0"/>
          <w:tab w:val="left" w:pos="900"/>
          <w:tab w:val="left" w:pos="1080"/>
        </w:tabs>
        <w:ind w:hanging="450"/>
        <w:jc w:val="both"/>
        <w:rPr>
          <w:rFonts w:ascii="Times New Roman" w:hAnsi="Times New Roman"/>
          <w:snapToGrid w:val="0"/>
          <w:color w:val="auto"/>
          <w:szCs w:val="22"/>
        </w:rPr>
      </w:pPr>
    </w:p>
    <w:p w14:paraId="3ED25657" w14:textId="77777777" w:rsidR="00F0016E" w:rsidRPr="00506530" w:rsidRDefault="00F0016E" w:rsidP="0078647A">
      <w:pPr>
        <w:numPr>
          <w:ilvl w:val="1"/>
          <w:numId w:val="1"/>
        </w:numPr>
        <w:tabs>
          <w:tab w:val="left" w:pos="0"/>
          <w:tab w:val="left" w:pos="900"/>
          <w:tab w:val="left" w:pos="1080"/>
        </w:tabs>
        <w:ind w:left="450" w:hanging="450"/>
        <w:jc w:val="both"/>
        <w:rPr>
          <w:rFonts w:ascii="Times New Roman" w:hAnsi="Times New Roman"/>
          <w:snapToGrid w:val="0"/>
          <w:color w:val="auto"/>
          <w:szCs w:val="22"/>
        </w:rPr>
      </w:pPr>
      <w:r w:rsidRPr="00506530">
        <w:rPr>
          <w:rFonts w:ascii="Times New Roman" w:hAnsi="Times New Roman"/>
          <w:snapToGrid w:val="0"/>
          <w:color w:val="auto"/>
          <w:szCs w:val="22"/>
        </w:rPr>
        <w:t xml:space="preserve">La OIM notificará al IGM </w:t>
      </w:r>
      <w:r w:rsidRPr="00506530">
        <w:rPr>
          <w:rFonts w:ascii="Times New Roman" w:hAnsi="Times New Roman"/>
          <w:color w:val="auto"/>
          <w:szCs w:val="22"/>
        </w:rPr>
        <w:t>cuando</w:t>
      </w:r>
      <w:r w:rsidRPr="00506530">
        <w:rPr>
          <w:rFonts w:ascii="Times New Roman" w:hAnsi="Times New Roman"/>
          <w:snapToGrid w:val="0"/>
          <w:color w:val="auto"/>
          <w:szCs w:val="22"/>
        </w:rPr>
        <w:t xml:space="preserve"> se levante la suspensión y podrá modificar la fecha de terminación. </w:t>
      </w:r>
    </w:p>
    <w:p w14:paraId="2647117D" w14:textId="77777777" w:rsidR="00F0016E" w:rsidRPr="00506530" w:rsidRDefault="00F0016E" w:rsidP="00F0016E">
      <w:pPr>
        <w:pStyle w:val="Textoindependiente"/>
        <w:tabs>
          <w:tab w:val="left" w:pos="0"/>
          <w:tab w:val="left" w:pos="900"/>
          <w:tab w:val="left" w:pos="1080"/>
        </w:tabs>
        <w:jc w:val="both"/>
        <w:rPr>
          <w:rFonts w:ascii="Times New Roman" w:hAnsi="Times New Roman"/>
          <w:snapToGrid w:val="0"/>
          <w:color w:val="auto"/>
          <w:szCs w:val="22"/>
        </w:rPr>
      </w:pPr>
    </w:p>
    <w:p w14:paraId="0F769FA3" w14:textId="77777777" w:rsidR="00F0016E" w:rsidRPr="00506530" w:rsidRDefault="00F0016E" w:rsidP="00F0016E">
      <w:pPr>
        <w:numPr>
          <w:ilvl w:val="0"/>
          <w:numId w:val="1"/>
        </w:numPr>
        <w:jc w:val="both"/>
        <w:rPr>
          <w:rFonts w:ascii="Times New Roman" w:hAnsi="Times New Roman"/>
          <w:snapToGrid w:val="0"/>
          <w:color w:val="auto"/>
          <w:szCs w:val="22"/>
        </w:rPr>
      </w:pPr>
      <w:r w:rsidRPr="00506530">
        <w:rPr>
          <w:rFonts w:ascii="Times New Roman" w:hAnsi="Times New Roman"/>
          <w:b/>
          <w:bCs/>
          <w:color w:val="auto"/>
          <w:szCs w:val="22"/>
        </w:rPr>
        <w:t>Indivisibilidad</w:t>
      </w:r>
    </w:p>
    <w:p w14:paraId="54D6DEAB" w14:textId="77777777" w:rsidR="00F0016E" w:rsidRPr="00506530" w:rsidRDefault="00F0016E" w:rsidP="00F0016E">
      <w:pPr>
        <w:tabs>
          <w:tab w:val="left" w:pos="426"/>
        </w:tabs>
        <w:jc w:val="both"/>
        <w:rPr>
          <w:rFonts w:ascii="Times New Roman" w:hAnsi="Times New Roman"/>
          <w:snapToGrid w:val="0"/>
          <w:color w:val="auto"/>
          <w:szCs w:val="22"/>
        </w:rPr>
      </w:pPr>
    </w:p>
    <w:p w14:paraId="522937A3" w14:textId="77777777" w:rsidR="00F0016E" w:rsidRPr="00506530" w:rsidRDefault="00F0016E" w:rsidP="00F0016E">
      <w:pPr>
        <w:tabs>
          <w:tab w:val="left" w:pos="426"/>
        </w:tabs>
        <w:jc w:val="both"/>
        <w:rPr>
          <w:rFonts w:ascii="Times New Roman" w:hAnsi="Times New Roman"/>
          <w:snapToGrid w:val="0"/>
          <w:color w:val="auto"/>
          <w:szCs w:val="22"/>
        </w:rPr>
      </w:pPr>
      <w:r w:rsidRPr="00506530">
        <w:rPr>
          <w:rFonts w:ascii="Times New Roman" w:hAnsi="Times New Roman"/>
          <w:snapToGrid w:val="0"/>
          <w:color w:val="auto"/>
          <w:szCs w:val="22"/>
        </w:rPr>
        <w:t>El presente Acuerdo constituye la totalidad del acuerdo entre las Partes y reemplaza cualquier acuerdo o arreglo anterior que hubiere con relación al tema de que es objeto este Acuerdo.</w:t>
      </w:r>
    </w:p>
    <w:p w14:paraId="2E55CA2F" w14:textId="77777777" w:rsidR="00F0016E" w:rsidRPr="00506530" w:rsidRDefault="00F0016E" w:rsidP="00F0016E">
      <w:pPr>
        <w:jc w:val="both"/>
        <w:rPr>
          <w:rFonts w:ascii="Times New Roman" w:hAnsi="Times New Roman"/>
          <w:color w:val="auto"/>
          <w:szCs w:val="22"/>
        </w:rPr>
      </w:pPr>
    </w:p>
    <w:p w14:paraId="6AD0F6D2" w14:textId="77777777" w:rsidR="00F0016E" w:rsidRPr="00506530" w:rsidRDefault="00F0016E" w:rsidP="00F0016E">
      <w:pPr>
        <w:numPr>
          <w:ilvl w:val="0"/>
          <w:numId w:val="1"/>
        </w:numPr>
        <w:jc w:val="both"/>
        <w:rPr>
          <w:rFonts w:ascii="Times New Roman" w:hAnsi="Times New Roman"/>
          <w:i/>
          <w:snapToGrid w:val="0"/>
          <w:color w:val="auto"/>
          <w:szCs w:val="22"/>
        </w:rPr>
      </w:pPr>
      <w:r w:rsidRPr="00506530">
        <w:rPr>
          <w:rFonts w:ascii="Times New Roman" w:hAnsi="Times New Roman"/>
          <w:b/>
          <w:color w:val="auto"/>
          <w:szCs w:val="22"/>
        </w:rPr>
        <w:t>Cláusulas finales</w:t>
      </w:r>
      <w:r w:rsidRPr="00506530">
        <w:rPr>
          <w:rFonts w:ascii="Times New Roman" w:hAnsi="Times New Roman"/>
          <w:color w:val="auto"/>
          <w:szCs w:val="22"/>
        </w:rPr>
        <w:t xml:space="preserve"> </w:t>
      </w:r>
    </w:p>
    <w:p w14:paraId="6D99CFAC" w14:textId="77777777" w:rsidR="00F0016E" w:rsidRPr="00506530" w:rsidRDefault="00F0016E" w:rsidP="00F0016E">
      <w:pPr>
        <w:tabs>
          <w:tab w:val="left" w:pos="1440"/>
        </w:tabs>
        <w:ind w:left="1440" w:hanging="720"/>
        <w:jc w:val="both"/>
        <w:rPr>
          <w:rFonts w:ascii="Times New Roman" w:hAnsi="Times New Roman"/>
          <w:snapToGrid w:val="0"/>
          <w:color w:val="auto"/>
          <w:szCs w:val="22"/>
        </w:rPr>
      </w:pPr>
    </w:p>
    <w:p w14:paraId="40C0DD37" w14:textId="77777777" w:rsidR="00F0016E" w:rsidRPr="00506530" w:rsidRDefault="00F0016E" w:rsidP="0078647A">
      <w:pPr>
        <w:numPr>
          <w:ilvl w:val="1"/>
          <w:numId w:val="1"/>
        </w:numPr>
        <w:ind w:left="450" w:hanging="450"/>
        <w:jc w:val="both"/>
        <w:rPr>
          <w:rFonts w:ascii="Times New Roman" w:hAnsi="Times New Roman"/>
          <w:color w:val="auto"/>
          <w:szCs w:val="22"/>
        </w:rPr>
      </w:pPr>
      <w:r w:rsidRPr="00506530">
        <w:rPr>
          <w:rFonts w:ascii="Times New Roman" w:hAnsi="Times New Roman"/>
          <w:color w:val="auto"/>
          <w:szCs w:val="22"/>
        </w:rPr>
        <w:t xml:space="preserve">El presente </w:t>
      </w:r>
      <w:r w:rsidRPr="00506530">
        <w:rPr>
          <w:rFonts w:ascii="Times New Roman" w:hAnsi="Times New Roman"/>
          <w:snapToGrid w:val="0"/>
          <w:color w:val="auto"/>
          <w:szCs w:val="22"/>
        </w:rPr>
        <w:t>Acuerdo</w:t>
      </w:r>
      <w:r w:rsidRPr="00506530">
        <w:rPr>
          <w:rFonts w:ascii="Times New Roman" w:hAnsi="Times New Roman"/>
          <w:color w:val="auto"/>
          <w:szCs w:val="22"/>
        </w:rPr>
        <w:t xml:space="preserve"> entrará en vigor tras la firma por ambas Partes y permanecerá en vigor hasta que estas hayan cumplido con todas las obligaciones contraídas en virtud de este, a menos que sea rescindido conforme a lo dispuesto en la Cláusula 19. </w:t>
      </w:r>
    </w:p>
    <w:p w14:paraId="41F357D4" w14:textId="77777777" w:rsidR="00F0016E" w:rsidRPr="00506530" w:rsidRDefault="00F0016E" w:rsidP="00F0016E">
      <w:pPr>
        <w:ind w:left="540" w:hanging="540"/>
        <w:jc w:val="both"/>
        <w:rPr>
          <w:rFonts w:ascii="Times New Roman" w:hAnsi="Times New Roman"/>
          <w:snapToGrid w:val="0"/>
          <w:color w:val="auto"/>
          <w:szCs w:val="22"/>
        </w:rPr>
      </w:pPr>
    </w:p>
    <w:p w14:paraId="2F7D397B" w14:textId="77777777" w:rsidR="00F0016E" w:rsidRPr="00506530" w:rsidRDefault="00F0016E" w:rsidP="0078647A">
      <w:pPr>
        <w:numPr>
          <w:ilvl w:val="1"/>
          <w:numId w:val="1"/>
        </w:numPr>
        <w:ind w:left="450" w:hanging="450"/>
        <w:jc w:val="both"/>
        <w:rPr>
          <w:rFonts w:ascii="Times New Roman" w:hAnsi="Times New Roman"/>
          <w:color w:val="auto"/>
          <w:szCs w:val="22"/>
        </w:rPr>
      </w:pPr>
      <w:r w:rsidRPr="00506530">
        <w:rPr>
          <w:rFonts w:ascii="Times New Roman" w:hAnsi="Times New Roman"/>
          <w:color w:val="auto"/>
          <w:szCs w:val="22"/>
          <w:lang w:val="es-ES_tradnl"/>
        </w:rPr>
        <w:t xml:space="preserve">Las Partes podrán </w:t>
      </w:r>
      <w:r w:rsidRPr="00506530">
        <w:rPr>
          <w:rFonts w:ascii="Times New Roman" w:hAnsi="Times New Roman"/>
          <w:snapToGrid w:val="0"/>
          <w:color w:val="auto"/>
          <w:szCs w:val="22"/>
        </w:rPr>
        <w:t>efectuar</w:t>
      </w:r>
      <w:r w:rsidRPr="00506530">
        <w:rPr>
          <w:rFonts w:ascii="Times New Roman" w:hAnsi="Times New Roman"/>
          <w:color w:val="auto"/>
          <w:szCs w:val="22"/>
          <w:lang w:val="es-ES_tradnl"/>
        </w:rPr>
        <w:t xml:space="preserve"> enmiendas mediante acuerdo mutuo y por escrito</w:t>
      </w:r>
      <w:r w:rsidRPr="00506530">
        <w:rPr>
          <w:rFonts w:ascii="Times New Roman" w:hAnsi="Times New Roman"/>
          <w:color w:val="auto"/>
          <w:szCs w:val="22"/>
        </w:rPr>
        <w:t xml:space="preserve">. </w:t>
      </w:r>
    </w:p>
    <w:p w14:paraId="7212F8E0" w14:textId="77777777" w:rsidR="00F0016E" w:rsidRPr="00506530" w:rsidRDefault="00F0016E" w:rsidP="00F0016E">
      <w:pPr>
        <w:tabs>
          <w:tab w:val="left" w:pos="426"/>
        </w:tabs>
        <w:jc w:val="both"/>
        <w:rPr>
          <w:rFonts w:ascii="Times New Roman" w:hAnsi="Times New Roman"/>
          <w:snapToGrid w:val="0"/>
          <w:color w:val="auto"/>
          <w:szCs w:val="22"/>
        </w:rPr>
      </w:pPr>
    </w:p>
    <w:p w14:paraId="5CE2975E" w14:textId="77777777" w:rsidR="00F0016E" w:rsidRDefault="00F0016E" w:rsidP="00EE2C35">
      <w:pPr>
        <w:tabs>
          <w:tab w:val="left" w:pos="0"/>
        </w:tabs>
        <w:jc w:val="center"/>
        <w:rPr>
          <w:rStyle w:val="Refdecomentario"/>
          <w:rFonts w:ascii="Times New Roman" w:hAnsi="Times New Roman"/>
          <w:color w:val="auto"/>
          <w:sz w:val="22"/>
          <w:szCs w:val="22"/>
        </w:rPr>
      </w:pPr>
      <w:r w:rsidRPr="00506530">
        <w:rPr>
          <w:rFonts w:ascii="Times New Roman" w:hAnsi="Times New Roman"/>
          <w:color w:val="auto"/>
          <w:szCs w:val="22"/>
        </w:rPr>
        <w:t>Firmado por duplicado en español</w:t>
      </w:r>
      <w:r w:rsidRPr="00506530">
        <w:rPr>
          <w:rStyle w:val="Refdecomentario"/>
          <w:rFonts w:ascii="Times New Roman" w:hAnsi="Times New Roman"/>
          <w:color w:val="auto"/>
          <w:sz w:val="22"/>
          <w:szCs w:val="22"/>
        </w:rPr>
        <w:t>, en la fecha y lugar indicados abajo.</w:t>
      </w:r>
    </w:p>
    <w:p w14:paraId="25A8E6DB" w14:textId="77777777" w:rsidR="001C559B" w:rsidRPr="00506530" w:rsidRDefault="001C559B" w:rsidP="00EE2C35">
      <w:pPr>
        <w:tabs>
          <w:tab w:val="left" w:pos="0"/>
        </w:tabs>
        <w:jc w:val="center"/>
        <w:rPr>
          <w:rFonts w:ascii="Times New Roman" w:hAnsi="Times New Roman"/>
          <w:color w:val="auto"/>
          <w:szCs w:val="22"/>
          <w:u w:val="single"/>
        </w:rPr>
      </w:pPr>
    </w:p>
    <w:p w14:paraId="7BD5E3DC" w14:textId="77777777" w:rsidR="00F0016E" w:rsidRPr="00506530" w:rsidRDefault="00F0016E" w:rsidP="00F0016E">
      <w:pPr>
        <w:jc w:val="both"/>
        <w:rPr>
          <w:rFonts w:ascii="Times New Roman" w:hAnsi="Times New Roman"/>
          <w:color w:val="auto"/>
          <w:szCs w:val="22"/>
          <w:u w:val="single"/>
        </w:rPr>
      </w:pPr>
    </w:p>
    <w:tbl>
      <w:tblPr>
        <w:tblW w:w="0" w:type="auto"/>
        <w:jc w:val="center"/>
        <w:tblLook w:val="04A0" w:firstRow="1" w:lastRow="0" w:firstColumn="1" w:lastColumn="0" w:noHBand="0" w:noVBand="1"/>
      </w:tblPr>
      <w:tblGrid>
        <w:gridCol w:w="4264"/>
        <w:gridCol w:w="4267"/>
      </w:tblGrid>
      <w:tr w:rsidR="00F0016E" w:rsidRPr="00506530" w14:paraId="39749D9A" w14:textId="77777777" w:rsidTr="00507FA5">
        <w:trPr>
          <w:jc w:val="center"/>
        </w:trPr>
        <w:tc>
          <w:tcPr>
            <w:tcW w:w="4264" w:type="dxa"/>
          </w:tcPr>
          <w:p w14:paraId="579372A5" w14:textId="77777777" w:rsidR="00F0016E" w:rsidRPr="00506530" w:rsidRDefault="00F0016E" w:rsidP="00507FA5">
            <w:pPr>
              <w:jc w:val="center"/>
              <w:rPr>
                <w:rFonts w:ascii="Times New Roman" w:hAnsi="Times New Roman"/>
                <w:iCs/>
                <w:color w:val="auto"/>
                <w:szCs w:val="22"/>
              </w:rPr>
            </w:pPr>
            <w:r w:rsidRPr="00506530">
              <w:rPr>
                <w:rFonts w:ascii="Times New Roman" w:hAnsi="Times New Roman"/>
                <w:iCs/>
                <w:color w:val="auto"/>
                <w:szCs w:val="22"/>
              </w:rPr>
              <w:t>Por y en nombre de OIM</w:t>
            </w:r>
          </w:p>
        </w:tc>
        <w:tc>
          <w:tcPr>
            <w:tcW w:w="4267" w:type="dxa"/>
          </w:tcPr>
          <w:p w14:paraId="4EA20A5E" w14:textId="77777777" w:rsidR="00F0016E" w:rsidRPr="00506530" w:rsidRDefault="00F0016E" w:rsidP="00507FA5">
            <w:pPr>
              <w:jc w:val="center"/>
              <w:rPr>
                <w:rFonts w:ascii="Times New Roman" w:hAnsi="Times New Roman"/>
                <w:iCs/>
                <w:color w:val="auto"/>
                <w:szCs w:val="22"/>
              </w:rPr>
            </w:pPr>
            <w:r w:rsidRPr="00506530">
              <w:rPr>
                <w:rFonts w:ascii="Times New Roman" w:hAnsi="Times New Roman"/>
                <w:iCs/>
                <w:color w:val="auto"/>
                <w:szCs w:val="22"/>
              </w:rPr>
              <w:t>Por y en nombre del IGM</w:t>
            </w:r>
          </w:p>
        </w:tc>
      </w:tr>
      <w:tr w:rsidR="00F0016E" w:rsidRPr="00506530" w14:paraId="78D431E4" w14:textId="77777777" w:rsidTr="00507FA5">
        <w:trPr>
          <w:jc w:val="center"/>
        </w:trPr>
        <w:tc>
          <w:tcPr>
            <w:tcW w:w="4264" w:type="dxa"/>
          </w:tcPr>
          <w:p w14:paraId="49CEF489" w14:textId="77777777" w:rsidR="00F0016E" w:rsidRPr="00506530" w:rsidRDefault="00F0016E" w:rsidP="00507FA5">
            <w:pPr>
              <w:jc w:val="center"/>
              <w:rPr>
                <w:rFonts w:ascii="Times New Roman" w:hAnsi="Times New Roman"/>
                <w:iCs/>
                <w:color w:val="auto"/>
                <w:szCs w:val="22"/>
              </w:rPr>
            </w:pPr>
          </w:p>
          <w:p w14:paraId="23881293" w14:textId="77777777" w:rsidR="00F0016E" w:rsidRPr="00506530" w:rsidRDefault="00F0016E" w:rsidP="00507FA5">
            <w:pPr>
              <w:jc w:val="center"/>
              <w:rPr>
                <w:rFonts w:ascii="Times New Roman" w:hAnsi="Times New Roman"/>
                <w:iCs/>
                <w:color w:val="auto"/>
                <w:szCs w:val="22"/>
              </w:rPr>
            </w:pPr>
          </w:p>
          <w:p w14:paraId="363D4CF9" w14:textId="77777777" w:rsidR="00F0016E" w:rsidRPr="00506530" w:rsidRDefault="00F0016E" w:rsidP="00507FA5">
            <w:pPr>
              <w:jc w:val="center"/>
              <w:rPr>
                <w:rFonts w:ascii="Times New Roman" w:hAnsi="Times New Roman"/>
                <w:iCs/>
                <w:color w:val="auto"/>
                <w:szCs w:val="22"/>
              </w:rPr>
            </w:pPr>
          </w:p>
          <w:p w14:paraId="68BEAF71" w14:textId="77777777" w:rsidR="00F0016E" w:rsidRPr="00506530" w:rsidRDefault="00F0016E" w:rsidP="00507FA5">
            <w:pPr>
              <w:jc w:val="center"/>
              <w:rPr>
                <w:rFonts w:ascii="Times New Roman" w:hAnsi="Times New Roman"/>
                <w:iCs/>
                <w:color w:val="auto"/>
                <w:szCs w:val="22"/>
              </w:rPr>
            </w:pPr>
          </w:p>
        </w:tc>
        <w:tc>
          <w:tcPr>
            <w:tcW w:w="4267" w:type="dxa"/>
          </w:tcPr>
          <w:p w14:paraId="765D6AB9" w14:textId="77777777" w:rsidR="00F0016E" w:rsidRPr="00506530" w:rsidRDefault="00F0016E" w:rsidP="00507FA5">
            <w:pPr>
              <w:jc w:val="center"/>
              <w:rPr>
                <w:rFonts w:ascii="Times New Roman" w:hAnsi="Times New Roman"/>
                <w:iCs/>
                <w:color w:val="auto"/>
                <w:szCs w:val="22"/>
              </w:rPr>
            </w:pPr>
          </w:p>
        </w:tc>
      </w:tr>
      <w:tr w:rsidR="00F0016E" w:rsidRPr="00506530" w14:paraId="416E82D8" w14:textId="77777777" w:rsidTr="00507FA5">
        <w:trPr>
          <w:jc w:val="center"/>
        </w:trPr>
        <w:tc>
          <w:tcPr>
            <w:tcW w:w="4264" w:type="dxa"/>
          </w:tcPr>
          <w:p w14:paraId="7F8AED3D" w14:textId="6587BC23" w:rsidR="00F0016E" w:rsidRPr="00506530" w:rsidRDefault="00F0016E" w:rsidP="00507FA5">
            <w:pPr>
              <w:jc w:val="center"/>
              <w:rPr>
                <w:rFonts w:ascii="Times New Roman" w:hAnsi="Times New Roman"/>
                <w:iCs/>
                <w:color w:val="auto"/>
                <w:szCs w:val="22"/>
              </w:rPr>
            </w:pPr>
            <w:proofErr w:type="spellStart"/>
            <w:r w:rsidRPr="00506530">
              <w:rPr>
                <w:rFonts w:ascii="Times New Roman" w:hAnsi="Times New Roman"/>
                <w:iCs/>
                <w:color w:val="auto"/>
                <w:szCs w:val="22"/>
              </w:rPr>
              <w:t>St</w:t>
            </w:r>
            <w:r w:rsidR="0078647A">
              <w:rPr>
                <w:rFonts w:ascii="Times New Roman" w:hAnsi="Times New Roman"/>
                <w:iCs/>
                <w:color w:val="auto"/>
                <w:szCs w:val="22"/>
              </w:rPr>
              <w:t>éph</w:t>
            </w:r>
            <w:r w:rsidRPr="00506530">
              <w:rPr>
                <w:rFonts w:ascii="Times New Roman" w:hAnsi="Times New Roman"/>
                <w:iCs/>
                <w:color w:val="auto"/>
                <w:szCs w:val="22"/>
              </w:rPr>
              <w:t>anie</w:t>
            </w:r>
            <w:proofErr w:type="spellEnd"/>
            <w:r w:rsidRPr="00506530">
              <w:rPr>
                <w:rFonts w:ascii="Times New Roman" w:hAnsi="Times New Roman"/>
                <w:iCs/>
                <w:color w:val="auto"/>
                <w:szCs w:val="22"/>
              </w:rPr>
              <w:t xml:space="preserve"> </w:t>
            </w:r>
            <w:proofErr w:type="spellStart"/>
            <w:r w:rsidRPr="00506530">
              <w:rPr>
                <w:rFonts w:ascii="Times New Roman" w:hAnsi="Times New Roman"/>
                <w:iCs/>
                <w:color w:val="auto"/>
                <w:szCs w:val="22"/>
              </w:rPr>
              <w:t>Daviot</w:t>
            </w:r>
            <w:proofErr w:type="spellEnd"/>
          </w:p>
        </w:tc>
        <w:tc>
          <w:tcPr>
            <w:tcW w:w="4267" w:type="dxa"/>
          </w:tcPr>
          <w:p w14:paraId="0FBC2F47" w14:textId="242E3208" w:rsidR="00F0016E" w:rsidRPr="00506530" w:rsidRDefault="00F0016E" w:rsidP="00507FA5">
            <w:pPr>
              <w:jc w:val="center"/>
              <w:rPr>
                <w:rFonts w:ascii="Times New Roman" w:hAnsi="Times New Roman"/>
                <w:iCs/>
                <w:color w:val="auto"/>
                <w:szCs w:val="22"/>
              </w:rPr>
            </w:pPr>
            <w:r w:rsidRPr="00506530">
              <w:rPr>
                <w:rFonts w:ascii="Times New Roman" w:hAnsi="Times New Roman"/>
                <w:iCs/>
                <w:color w:val="auto"/>
                <w:szCs w:val="22"/>
              </w:rPr>
              <w:t xml:space="preserve">Alfredo </w:t>
            </w:r>
            <w:r w:rsidR="00E75824">
              <w:rPr>
                <w:rFonts w:ascii="Times New Roman" w:hAnsi="Times New Roman"/>
                <w:iCs/>
                <w:color w:val="auto"/>
                <w:szCs w:val="22"/>
              </w:rPr>
              <w:t xml:space="preserve">Danilo </w:t>
            </w:r>
            <w:r w:rsidRPr="00506530">
              <w:rPr>
                <w:rFonts w:ascii="Times New Roman" w:hAnsi="Times New Roman"/>
                <w:iCs/>
                <w:color w:val="auto"/>
                <w:szCs w:val="22"/>
              </w:rPr>
              <w:t>Rivera</w:t>
            </w:r>
          </w:p>
        </w:tc>
      </w:tr>
      <w:tr w:rsidR="00F0016E" w:rsidRPr="00506530" w14:paraId="6D00F974" w14:textId="77777777" w:rsidTr="00507FA5">
        <w:trPr>
          <w:jc w:val="center"/>
        </w:trPr>
        <w:tc>
          <w:tcPr>
            <w:tcW w:w="4264" w:type="dxa"/>
          </w:tcPr>
          <w:p w14:paraId="479E8052" w14:textId="77777777" w:rsidR="00F0016E" w:rsidRPr="00506530" w:rsidRDefault="00F0016E" w:rsidP="00507FA5">
            <w:pPr>
              <w:jc w:val="center"/>
              <w:rPr>
                <w:rFonts w:ascii="Times New Roman" w:hAnsi="Times New Roman"/>
                <w:iCs/>
                <w:color w:val="auto"/>
                <w:szCs w:val="22"/>
              </w:rPr>
            </w:pPr>
            <w:r w:rsidRPr="00506530">
              <w:rPr>
                <w:rFonts w:ascii="Times New Roman" w:hAnsi="Times New Roman"/>
                <w:iCs/>
                <w:color w:val="auto"/>
                <w:szCs w:val="22"/>
              </w:rPr>
              <w:t>Jefa de Misión</w:t>
            </w:r>
          </w:p>
        </w:tc>
        <w:tc>
          <w:tcPr>
            <w:tcW w:w="4267" w:type="dxa"/>
          </w:tcPr>
          <w:p w14:paraId="26AD9A30" w14:textId="77777777" w:rsidR="00F0016E" w:rsidRPr="00506530" w:rsidRDefault="00F0016E" w:rsidP="00507FA5">
            <w:pPr>
              <w:jc w:val="center"/>
              <w:rPr>
                <w:rFonts w:ascii="Times New Roman" w:hAnsi="Times New Roman"/>
                <w:iCs/>
                <w:color w:val="auto"/>
                <w:szCs w:val="22"/>
              </w:rPr>
            </w:pPr>
            <w:r w:rsidRPr="00506530">
              <w:rPr>
                <w:rFonts w:ascii="Times New Roman" w:hAnsi="Times New Roman"/>
                <w:iCs/>
                <w:color w:val="auto"/>
                <w:szCs w:val="22"/>
              </w:rPr>
              <w:t>Director General</w:t>
            </w:r>
          </w:p>
        </w:tc>
      </w:tr>
      <w:tr w:rsidR="00F0016E" w:rsidRPr="00506530" w14:paraId="2A658B85" w14:textId="77777777" w:rsidTr="00507FA5">
        <w:trPr>
          <w:jc w:val="center"/>
        </w:trPr>
        <w:tc>
          <w:tcPr>
            <w:tcW w:w="4264" w:type="dxa"/>
          </w:tcPr>
          <w:p w14:paraId="596EC50F" w14:textId="526B0E2B" w:rsidR="00F0016E" w:rsidRPr="00506530" w:rsidRDefault="00A0330E" w:rsidP="00507FA5">
            <w:pPr>
              <w:jc w:val="center"/>
              <w:rPr>
                <w:rFonts w:ascii="Times New Roman" w:hAnsi="Times New Roman"/>
                <w:iCs/>
                <w:color w:val="auto"/>
                <w:szCs w:val="22"/>
              </w:rPr>
            </w:pPr>
            <w:r>
              <w:rPr>
                <w:rFonts w:ascii="Times New Roman" w:hAnsi="Times New Roman"/>
                <w:iCs/>
                <w:color w:val="auto"/>
                <w:szCs w:val="22"/>
              </w:rPr>
              <w:t xml:space="preserve">27 </w:t>
            </w:r>
            <w:r w:rsidR="00F0016E" w:rsidRPr="00506530">
              <w:rPr>
                <w:rFonts w:ascii="Times New Roman" w:hAnsi="Times New Roman"/>
                <w:iCs/>
                <w:color w:val="auto"/>
                <w:szCs w:val="22"/>
              </w:rPr>
              <w:t>de noviembre de 2024</w:t>
            </w:r>
          </w:p>
        </w:tc>
        <w:tc>
          <w:tcPr>
            <w:tcW w:w="4267" w:type="dxa"/>
          </w:tcPr>
          <w:p w14:paraId="098ABC46" w14:textId="4F0D534B" w:rsidR="00F0016E" w:rsidRPr="00506530" w:rsidRDefault="00A0330E" w:rsidP="00507FA5">
            <w:pPr>
              <w:jc w:val="center"/>
              <w:rPr>
                <w:rFonts w:ascii="Times New Roman" w:hAnsi="Times New Roman"/>
                <w:iCs/>
                <w:color w:val="auto"/>
                <w:szCs w:val="22"/>
              </w:rPr>
            </w:pPr>
            <w:r>
              <w:rPr>
                <w:rFonts w:ascii="Times New Roman" w:hAnsi="Times New Roman"/>
                <w:iCs/>
                <w:color w:val="auto"/>
                <w:szCs w:val="22"/>
              </w:rPr>
              <w:t>27</w:t>
            </w:r>
            <w:r w:rsidR="00F0016E" w:rsidRPr="00506530">
              <w:rPr>
                <w:rFonts w:ascii="Times New Roman" w:hAnsi="Times New Roman"/>
                <w:iCs/>
                <w:color w:val="auto"/>
                <w:szCs w:val="22"/>
              </w:rPr>
              <w:t xml:space="preserve"> de noviembre de 2024</w:t>
            </w:r>
          </w:p>
        </w:tc>
      </w:tr>
      <w:tr w:rsidR="00F0016E" w:rsidRPr="00506530" w14:paraId="4A1703AC" w14:textId="77777777" w:rsidTr="00507FA5">
        <w:trPr>
          <w:jc w:val="center"/>
        </w:trPr>
        <w:tc>
          <w:tcPr>
            <w:tcW w:w="4264" w:type="dxa"/>
          </w:tcPr>
          <w:p w14:paraId="14A628BD" w14:textId="77777777" w:rsidR="00F0016E" w:rsidRPr="00506530" w:rsidRDefault="00F0016E" w:rsidP="00507FA5">
            <w:pPr>
              <w:jc w:val="center"/>
              <w:rPr>
                <w:rFonts w:ascii="Times New Roman" w:hAnsi="Times New Roman"/>
                <w:iCs/>
                <w:color w:val="auto"/>
                <w:szCs w:val="22"/>
              </w:rPr>
            </w:pPr>
            <w:r w:rsidRPr="00506530">
              <w:rPr>
                <w:rFonts w:ascii="Times New Roman" w:hAnsi="Times New Roman"/>
                <w:iCs/>
                <w:color w:val="auto"/>
                <w:szCs w:val="22"/>
              </w:rPr>
              <w:t>Guatemala, Guatemala</w:t>
            </w:r>
          </w:p>
        </w:tc>
        <w:tc>
          <w:tcPr>
            <w:tcW w:w="4267" w:type="dxa"/>
          </w:tcPr>
          <w:p w14:paraId="45758FB6" w14:textId="77777777" w:rsidR="00F0016E" w:rsidRPr="00506530" w:rsidRDefault="00F0016E" w:rsidP="00507FA5">
            <w:pPr>
              <w:jc w:val="center"/>
              <w:rPr>
                <w:rFonts w:ascii="Times New Roman" w:hAnsi="Times New Roman"/>
                <w:iCs/>
                <w:color w:val="auto"/>
                <w:szCs w:val="22"/>
              </w:rPr>
            </w:pPr>
            <w:r w:rsidRPr="00506530">
              <w:rPr>
                <w:rFonts w:ascii="Times New Roman" w:hAnsi="Times New Roman"/>
                <w:iCs/>
                <w:color w:val="auto"/>
                <w:szCs w:val="22"/>
              </w:rPr>
              <w:t>Guatemala, Guatemala</w:t>
            </w:r>
          </w:p>
        </w:tc>
      </w:tr>
      <w:bookmarkEnd w:id="0"/>
    </w:tbl>
    <w:p w14:paraId="6FF4AD0E" w14:textId="77777777" w:rsidR="00F0016E" w:rsidRPr="00506530" w:rsidRDefault="00F0016E" w:rsidP="00F0016E">
      <w:pPr>
        <w:rPr>
          <w:rFonts w:ascii="Times New Roman" w:hAnsi="Times New Roman"/>
          <w:color w:val="auto"/>
          <w:szCs w:val="22"/>
        </w:rPr>
      </w:pPr>
    </w:p>
    <w:p w14:paraId="07B713AD" w14:textId="386CC034" w:rsidR="0078647A" w:rsidRDefault="0078647A">
      <w:pPr>
        <w:rPr>
          <w:rFonts w:ascii="Times New Roman" w:hAnsi="Times New Roman"/>
          <w:szCs w:val="22"/>
        </w:rPr>
      </w:pPr>
    </w:p>
    <w:p w14:paraId="3F165F2F" w14:textId="77777777" w:rsidR="0078647A" w:rsidRDefault="0078647A">
      <w:pPr>
        <w:spacing w:after="160" w:line="259" w:lineRule="auto"/>
        <w:rPr>
          <w:rFonts w:ascii="Times New Roman" w:hAnsi="Times New Roman"/>
          <w:szCs w:val="22"/>
        </w:rPr>
      </w:pPr>
      <w:r>
        <w:rPr>
          <w:rFonts w:ascii="Times New Roman" w:hAnsi="Times New Roman"/>
          <w:szCs w:val="22"/>
        </w:rPr>
        <w:br w:type="page"/>
      </w:r>
    </w:p>
    <w:p w14:paraId="4C07CE6B" w14:textId="30D9017C" w:rsidR="0044523F" w:rsidRPr="00956690" w:rsidRDefault="0044523F" w:rsidP="0044523F">
      <w:pPr>
        <w:pBdr>
          <w:top w:val="single" w:sz="4" w:space="1" w:color="auto"/>
          <w:left w:val="single" w:sz="4" w:space="4" w:color="auto"/>
          <w:bottom w:val="single" w:sz="4" w:space="1" w:color="auto"/>
          <w:right w:val="single" w:sz="4" w:space="4" w:color="auto"/>
        </w:pBdr>
        <w:spacing w:line="23" w:lineRule="atLeast"/>
        <w:jc w:val="center"/>
        <w:rPr>
          <w:rFonts w:ascii="Times New Roman" w:hAnsi="Times New Roman"/>
          <w:b/>
          <w:bCs/>
          <w:color w:val="000000"/>
          <w:szCs w:val="22"/>
          <w:lang w:val="es-ES_tradnl" w:eastAsia="en-US"/>
        </w:rPr>
      </w:pPr>
      <w:r w:rsidRPr="00956690">
        <w:rPr>
          <w:rFonts w:ascii="Times New Roman" w:hAnsi="Times New Roman"/>
          <w:b/>
          <w:bCs/>
          <w:color w:val="000000"/>
          <w:szCs w:val="22"/>
          <w:lang w:val="es-ES_tradnl" w:eastAsia="en-US"/>
        </w:rPr>
        <w:lastRenderedPageBreak/>
        <w:t>Anexo A</w:t>
      </w:r>
    </w:p>
    <w:p w14:paraId="6286CAD7" w14:textId="742362F8" w:rsidR="0044523F" w:rsidRPr="00956690" w:rsidRDefault="00DE199D" w:rsidP="0044523F">
      <w:pPr>
        <w:pBdr>
          <w:top w:val="single" w:sz="4" w:space="1" w:color="auto"/>
          <w:left w:val="single" w:sz="4" w:space="4" w:color="auto"/>
          <w:bottom w:val="single" w:sz="4" w:space="1" w:color="auto"/>
          <w:right w:val="single" w:sz="4" w:space="4" w:color="auto"/>
        </w:pBdr>
        <w:spacing w:line="23" w:lineRule="atLeast"/>
        <w:jc w:val="center"/>
        <w:rPr>
          <w:rFonts w:ascii="Times New Roman" w:hAnsi="Times New Roman"/>
          <w:b/>
          <w:bCs/>
          <w:color w:val="000000"/>
          <w:szCs w:val="22"/>
          <w:lang w:val="es-PA" w:eastAsia="en-US"/>
        </w:rPr>
      </w:pPr>
      <w:r w:rsidRPr="00DE199D">
        <w:rPr>
          <w:rFonts w:ascii="Times New Roman" w:hAnsi="Times New Roman"/>
          <w:b/>
          <w:bCs/>
          <w:color w:val="000000"/>
          <w:szCs w:val="22"/>
          <w:lang w:val="es-PA" w:eastAsia="en-US"/>
        </w:rPr>
        <w:t>Especificaciones técnicas</w:t>
      </w:r>
      <w:r w:rsidR="006A1DC1">
        <w:rPr>
          <w:rFonts w:ascii="Times New Roman" w:hAnsi="Times New Roman"/>
          <w:b/>
          <w:bCs/>
          <w:color w:val="000000"/>
          <w:szCs w:val="22"/>
          <w:lang w:val="es-PA" w:eastAsia="en-US"/>
        </w:rPr>
        <w:t xml:space="preserve"> del CRPR</w:t>
      </w:r>
      <w:r w:rsidRPr="00DE199D">
        <w:rPr>
          <w:rFonts w:ascii="Times New Roman" w:hAnsi="Times New Roman"/>
          <w:b/>
          <w:bCs/>
          <w:color w:val="000000"/>
          <w:szCs w:val="22"/>
          <w:lang w:val="es-PA" w:eastAsia="en-US"/>
        </w:rPr>
        <w:t xml:space="preserve"> a considerar por la OIM</w:t>
      </w:r>
    </w:p>
    <w:p w14:paraId="6820907D" w14:textId="77777777" w:rsidR="0044523F" w:rsidRPr="00956690" w:rsidRDefault="0044523F" w:rsidP="0044523F">
      <w:pPr>
        <w:autoSpaceDE w:val="0"/>
        <w:autoSpaceDN w:val="0"/>
        <w:adjustRightInd w:val="0"/>
        <w:rPr>
          <w:rFonts w:ascii="Times New Roman" w:eastAsia="Calibri" w:hAnsi="Times New Roman"/>
          <w:b/>
          <w:bCs/>
          <w:color w:val="000000"/>
          <w:sz w:val="20"/>
          <w:lang w:val="es-PA" w:eastAsia="en-US"/>
        </w:rPr>
      </w:pPr>
    </w:p>
    <w:p w14:paraId="52E42B39" w14:textId="3B09CE0B" w:rsidR="00A27653" w:rsidRPr="00A27653" w:rsidRDefault="0044523F" w:rsidP="00A27653">
      <w:pPr>
        <w:autoSpaceDE w:val="0"/>
        <w:autoSpaceDN w:val="0"/>
        <w:adjustRightInd w:val="0"/>
        <w:jc w:val="both"/>
        <w:rPr>
          <w:rFonts w:ascii="Times New Roman" w:eastAsia="Calibri" w:hAnsi="Times New Roman"/>
          <w:color w:val="000000"/>
          <w:szCs w:val="22"/>
          <w:lang w:eastAsia="en-US"/>
        </w:rPr>
      </w:pPr>
      <w:r w:rsidRPr="00956690">
        <w:rPr>
          <w:rFonts w:ascii="Times New Roman" w:eastAsia="Calibri" w:hAnsi="Times New Roman"/>
          <w:color w:val="000000"/>
          <w:szCs w:val="22"/>
          <w:lang w:eastAsia="en-US"/>
        </w:rPr>
        <w:t xml:space="preserve"> </w:t>
      </w:r>
    </w:p>
    <w:p w14:paraId="165B0F8A"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ESPECIFICACIONES TÉCNICAS</w:t>
      </w:r>
    </w:p>
    <w:p w14:paraId="3E6FCED7"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Centro de Recepción para Poblaciones Retornadas Vía Terrestre Ayutla, San Marcos</w:t>
      </w:r>
    </w:p>
    <w:p w14:paraId="625EE04D" w14:textId="60DCFB5C"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Julio 202</w:t>
      </w:r>
      <w:r>
        <w:rPr>
          <w:rFonts w:ascii="Times New Roman" w:eastAsia="Calibri" w:hAnsi="Times New Roman"/>
          <w:color w:val="000000"/>
          <w:szCs w:val="22"/>
          <w:lang w:eastAsia="en-US"/>
        </w:rPr>
        <w:t>4</w:t>
      </w:r>
    </w:p>
    <w:p w14:paraId="6CCFCDC6"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 xml:space="preserve"> </w:t>
      </w:r>
    </w:p>
    <w:p w14:paraId="7B162308"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224F1994"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CENTRO DE RECEPCIÓN PARA POBLACIONES RETORNADAS VÍA TERRESTRE, AYUTLA, SAN MARCOS</w:t>
      </w:r>
    </w:p>
    <w:p w14:paraId="4F950959"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23947938"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1.</w:t>
      </w:r>
      <w:r w:rsidRPr="00A27653">
        <w:rPr>
          <w:rFonts w:ascii="Times New Roman" w:eastAsia="Calibri" w:hAnsi="Times New Roman"/>
          <w:color w:val="000000"/>
          <w:szCs w:val="22"/>
          <w:lang w:eastAsia="en-US"/>
        </w:rPr>
        <w:tab/>
        <w:t>DISPOSICIONES GENERALES</w:t>
      </w:r>
    </w:p>
    <w:p w14:paraId="11FB23AD" w14:textId="7EB6BA12"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 xml:space="preserve">El terreno se encuentra ubicado en </w:t>
      </w:r>
      <w:r w:rsidR="00D37638" w:rsidRPr="00A27653">
        <w:rPr>
          <w:rFonts w:ascii="Times New Roman" w:eastAsia="Calibri" w:hAnsi="Times New Roman"/>
          <w:color w:val="000000"/>
          <w:szCs w:val="22"/>
          <w:lang w:eastAsia="en-US"/>
        </w:rPr>
        <w:t>Ayutla</w:t>
      </w:r>
      <w:r w:rsidRPr="00A27653">
        <w:rPr>
          <w:rFonts w:ascii="Times New Roman" w:eastAsia="Calibri" w:hAnsi="Times New Roman"/>
          <w:color w:val="000000"/>
          <w:szCs w:val="22"/>
          <w:lang w:eastAsia="en-US"/>
        </w:rPr>
        <w:t>, San Marcos, Guatemala y tiene un área de 2903.199 metros cuadrados.</w:t>
      </w:r>
    </w:p>
    <w:p w14:paraId="6A945E84"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El proyecto tiene un área de construcción de 1483.47 metros cuadrados y cuenta con los siguientes ambientes:</w:t>
      </w:r>
    </w:p>
    <w:p w14:paraId="58FAD068"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GENERAL</w:t>
      </w:r>
    </w:p>
    <w:p w14:paraId="291A198C"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o</w:t>
      </w:r>
      <w:r w:rsidRPr="00A27653">
        <w:rPr>
          <w:rFonts w:ascii="Times New Roman" w:eastAsia="Calibri" w:hAnsi="Times New Roman"/>
          <w:color w:val="000000"/>
          <w:szCs w:val="22"/>
          <w:lang w:eastAsia="en-US"/>
        </w:rPr>
        <w:tab/>
        <w:t>Parqueo De Autobuses 3</w:t>
      </w:r>
    </w:p>
    <w:p w14:paraId="6952DBAF"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o</w:t>
      </w:r>
      <w:r w:rsidRPr="00A27653">
        <w:rPr>
          <w:rFonts w:ascii="Times New Roman" w:eastAsia="Calibri" w:hAnsi="Times New Roman"/>
          <w:color w:val="000000"/>
          <w:szCs w:val="22"/>
          <w:lang w:eastAsia="en-US"/>
        </w:rPr>
        <w:tab/>
        <w:t>Sala De Recepción Para 200 Personas</w:t>
      </w:r>
    </w:p>
    <w:p w14:paraId="2AC2C1E2"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o</w:t>
      </w:r>
      <w:r w:rsidRPr="00A27653">
        <w:rPr>
          <w:rFonts w:ascii="Times New Roman" w:eastAsia="Calibri" w:hAnsi="Times New Roman"/>
          <w:color w:val="000000"/>
          <w:szCs w:val="22"/>
          <w:lang w:eastAsia="en-US"/>
        </w:rPr>
        <w:tab/>
        <w:t>Área De Entrega De Pertenencias</w:t>
      </w:r>
    </w:p>
    <w:p w14:paraId="0C94D7DE" w14:textId="3AB9D0DC"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o</w:t>
      </w:r>
      <w:r w:rsidRPr="00A27653">
        <w:rPr>
          <w:rFonts w:ascii="Times New Roman" w:eastAsia="Calibri" w:hAnsi="Times New Roman"/>
          <w:color w:val="000000"/>
          <w:szCs w:val="22"/>
          <w:lang w:eastAsia="en-US"/>
        </w:rPr>
        <w:tab/>
        <w:t xml:space="preserve">Área De </w:t>
      </w:r>
      <w:r>
        <w:rPr>
          <w:rFonts w:ascii="Times New Roman" w:eastAsia="Calibri" w:hAnsi="Times New Roman"/>
          <w:color w:val="000000"/>
          <w:szCs w:val="22"/>
          <w:lang w:eastAsia="en-US"/>
        </w:rPr>
        <w:t>PNC</w:t>
      </w:r>
    </w:p>
    <w:p w14:paraId="452A0E2E"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o</w:t>
      </w:r>
      <w:r w:rsidRPr="00A27653">
        <w:rPr>
          <w:rFonts w:ascii="Times New Roman" w:eastAsia="Calibri" w:hAnsi="Times New Roman"/>
          <w:color w:val="000000"/>
          <w:szCs w:val="22"/>
          <w:lang w:eastAsia="en-US"/>
        </w:rPr>
        <w:tab/>
        <w:t>Sala De Entrevistas Migración</w:t>
      </w:r>
    </w:p>
    <w:p w14:paraId="796ECCD4"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o</w:t>
      </w:r>
      <w:r w:rsidRPr="00A27653">
        <w:rPr>
          <w:rFonts w:ascii="Times New Roman" w:eastAsia="Calibri" w:hAnsi="Times New Roman"/>
          <w:color w:val="000000"/>
          <w:szCs w:val="22"/>
          <w:lang w:eastAsia="en-US"/>
        </w:rPr>
        <w:tab/>
        <w:t xml:space="preserve">Migración -10 </w:t>
      </w:r>
      <w:proofErr w:type="spellStart"/>
      <w:r w:rsidRPr="00A27653">
        <w:rPr>
          <w:rFonts w:ascii="Times New Roman" w:eastAsia="Calibri" w:hAnsi="Times New Roman"/>
          <w:color w:val="000000"/>
          <w:szCs w:val="22"/>
          <w:lang w:eastAsia="en-US"/>
        </w:rPr>
        <w:t>Cubiculosrenap</w:t>
      </w:r>
      <w:proofErr w:type="spellEnd"/>
    </w:p>
    <w:p w14:paraId="2AB4E437"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o</w:t>
      </w:r>
      <w:r w:rsidRPr="00A27653">
        <w:rPr>
          <w:rFonts w:ascii="Times New Roman" w:eastAsia="Calibri" w:hAnsi="Times New Roman"/>
          <w:color w:val="000000"/>
          <w:szCs w:val="22"/>
          <w:lang w:eastAsia="en-US"/>
        </w:rPr>
        <w:tab/>
        <w:t xml:space="preserve">8 </w:t>
      </w:r>
      <w:proofErr w:type="spellStart"/>
      <w:r w:rsidRPr="00A27653">
        <w:rPr>
          <w:rFonts w:ascii="Times New Roman" w:eastAsia="Calibri" w:hAnsi="Times New Roman"/>
          <w:color w:val="000000"/>
          <w:szCs w:val="22"/>
          <w:lang w:eastAsia="en-US"/>
        </w:rPr>
        <w:t>Cubiculos</w:t>
      </w:r>
      <w:proofErr w:type="spellEnd"/>
      <w:r w:rsidRPr="00A27653">
        <w:rPr>
          <w:rFonts w:ascii="Times New Roman" w:eastAsia="Calibri" w:hAnsi="Times New Roman"/>
          <w:color w:val="000000"/>
          <w:szCs w:val="22"/>
          <w:lang w:eastAsia="en-US"/>
        </w:rPr>
        <w:t xml:space="preserve"> Para Instituciones De Apoyo En Retorno</w:t>
      </w:r>
    </w:p>
    <w:p w14:paraId="78A3EDEA"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o</w:t>
      </w:r>
      <w:r w:rsidRPr="00A27653">
        <w:rPr>
          <w:rFonts w:ascii="Times New Roman" w:eastAsia="Calibri" w:hAnsi="Times New Roman"/>
          <w:color w:val="000000"/>
          <w:szCs w:val="22"/>
          <w:lang w:eastAsia="en-US"/>
        </w:rPr>
        <w:tab/>
        <w:t>Sala De Espera De Adultos (124 Personas)</w:t>
      </w:r>
    </w:p>
    <w:p w14:paraId="43EB2557"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o</w:t>
      </w:r>
      <w:r w:rsidRPr="00A27653">
        <w:rPr>
          <w:rFonts w:ascii="Times New Roman" w:eastAsia="Calibri" w:hAnsi="Times New Roman"/>
          <w:color w:val="000000"/>
          <w:szCs w:val="22"/>
          <w:lang w:eastAsia="en-US"/>
        </w:rPr>
        <w:tab/>
        <w:t>Área De Entrega De Alimentos</w:t>
      </w:r>
    </w:p>
    <w:p w14:paraId="2F0453D9" w14:textId="09F45971"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o</w:t>
      </w:r>
      <w:r w:rsidRPr="00A27653">
        <w:rPr>
          <w:rFonts w:ascii="Times New Roman" w:eastAsia="Calibri" w:hAnsi="Times New Roman"/>
          <w:color w:val="000000"/>
          <w:szCs w:val="22"/>
          <w:lang w:eastAsia="en-US"/>
        </w:rPr>
        <w:tab/>
        <w:t xml:space="preserve">Cabinas </w:t>
      </w:r>
      <w:r w:rsidR="00A33DBB" w:rsidRPr="00A27653">
        <w:rPr>
          <w:rFonts w:ascii="Times New Roman" w:eastAsia="Calibri" w:hAnsi="Times New Roman"/>
          <w:color w:val="000000"/>
          <w:szCs w:val="22"/>
          <w:lang w:eastAsia="en-US"/>
        </w:rPr>
        <w:t>Telefónicas</w:t>
      </w:r>
    </w:p>
    <w:p w14:paraId="54116C1F" w14:textId="5E51490D"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o</w:t>
      </w:r>
      <w:r w:rsidRPr="00A27653">
        <w:rPr>
          <w:rFonts w:ascii="Times New Roman" w:eastAsia="Calibri" w:hAnsi="Times New Roman"/>
          <w:color w:val="000000"/>
          <w:szCs w:val="22"/>
          <w:lang w:eastAsia="en-US"/>
        </w:rPr>
        <w:tab/>
        <w:t xml:space="preserve">Área </w:t>
      </w:r>
      <w:r w:rsidR="00A33DBB">
        <w:rPr>
          <w:rFonts w:ascii="Times New Roman" w:eastAsia="Calibri" w:hAnsi="Times New Roman"/>
          <w:color w:val="000000"/>
          <w:szCs w:val="22"/>
          <w:lang w:eastAsia="en-US"/>
        </w:rPr>
        <w:t>OIM</w:t>
      </w:r>
    </w:p>
    <w:p w14:paraId="3B6DB542"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o</w:t>
      </w:r>
      <w:r w:rsidRPr="00A27653">
        <w:rPr>
          <w:rFonts w:ascii="Times New Roman" w:eastAsia="Calibri" w:hAnsi="Times New Roman"/>
          <w:color w:val="000000"/>
          <w:szCs w:val="22"/>
          <w:lang w:eastAsia="en-US"/>
        </w:rPr>
        <w:tab/>
        <w:t>Área De Cambio De Moneda</w:t>
      </w:r>
    </w:p>
    <w:p w14:paraId="7ACF7034"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o</w:t>
      </w:r>
      <w:r w:rsidRPr="00A27653">
        <w:rPr>
          <w:rFonts w:ascii="Times New Roman" w:eastAsia="Calibri" w:hAnsi="Times New Roman"/>
          <w:color w:val="000000"/>
          <w:szCs w:val="22"/>
          <w:lang w:eastAsia="en-US"/>
        </w:rPr>
        <w:tab/>
        <w:t>S.S. Familiares</w:t>
      </w:r>
    </w:p>
    <w:p w14:paraId="031062D2"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o</w:t>
      </w:r>
      <w:r w:rsidRPr="00A27653">
        <w:rPr>
          <w:rFonts w:ascii="Times New Roman" w:eastAsia="Calibri" w:hAnsi="Times New Roman"/>
          <w:color w:val="000000"/>
          <w:szCs w:val="22"/>
          <w:lang w:eastAsia="en-US"/>
        </w:rPr>
        <w:tab/>
        <w:t>S.S. No Binario</w:t>
      </w:r>
    </w:p>
    <w:p w14:paraId="26ABC35E"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SALUD</w:t>
      </w:r>
    </w:p>
    <w:p w14:paraId="2672C605"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o</w:t>
      </w:r>
      <w:r w:rsidRPr="00A27653">
        <w:rPr>
          <w:rFonts w:ascii="Times New Roman" w:eastAsia="Calibri" w:hAnsi="Times New Roman"/>
          <w:color w:val="000000"/>
          <w:szCs w:val="22"/>
          <w:lang w:eastAsia="en-US"/>
        </w:rPr>
        <w:tab/>
        <w:t>Ducha De Emergencia En Exterior</w:t>
      </w:r>
    </w:p>
    <w:p w14:paraId="1C236245" w14:textId="2CF44B48"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o</w:t>
      </w:r>
      <w:r w:rsidRPr="00A27653">
        <w:rPr>
          <w:rFonts w:ascii="Times New Roman" w:eastAsia="Calibri" w:hAnsi="Times New Roman"/>
          <w:color w:val="000000"/>
          <w:szCs w:val="22"/>
          <w:lang w:eastAsia="en-US"/>
        </w:rPr>
        <w:tab/>
        <w:t xml:space="preserve">Área De Aislamiento </w:t>
      </w:r>
      <w:r w:rsidR="00A33DBB" w:rsidRPr="00A27653">
        <w:rPr>
          <w:rFonts w:ascii="Times New Roman" w:eastAsia="Calibri" w:hAnsi="Times New Roman"/>
          <w:color w:val="000000"/>
          <w:szCs w:val="22"/>
          <w:lang w:eastAsia="en-US"/>
        </w:rPr>
        <w:t>COVID</w:t>
      </w:r>
      <w:r w:rsidRPr="00A27653">
        <w:rPr>
          <w:rFonts w:ascii="Times New Roman" w:eastAsia="Calibri" w:hAnsi="Times New Roman"/>
          <w:color w:val="000000"/>
          <w:szCs w:val="22"/>
          <w:lang w:eastAsia="en-US"/>
        </w:rPr>
        <w:t xml:space="preserve"> Con S.S. Para 20 Personas</w:t>
      </w:r>
    </w:p>
    <w:p w14:paraId="147DAA3D" w14:textId="113A6189"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o</w:t>
      </w:r>
      <w:r w:rsidRPr="00A27653">
        <w:rPr>
          <w:rFonts w:ascii="Times New Roman" w:eastAsia="Calibri" w:hAnsi="Times New Roman"/>
          <w:color w:val="000000"/>
          <w:szCs w:val="22"/>
          <w:lang w:eastAsia="en-US"/>
        </w:rPr>
        <w:tab/>
        <w:t xml:space="preserve">Área De Toma De Muestras </w:t>
      </w:r>
      <w:r w:rsidR="00A33DBB" w:rsidRPr="00A27653">
        <w:rPr>
          <w:rFonts w:ascii="Times New Roman" w:eastAsia="Calibri" w:hAnsi="Times New Roman"/>
          <w:color w:val="000000"/>
          <w:szCs w:val="22"/>
          <w:lang w:eastAsia="en-US"/>
        </w:rPr>
        <w:t>COVID</w:t>
      </w:r>
      <w:r w:rsidRPr="00A27653">
        <w:rPr>
          <w:rFonts w:ascii="Times New Roman" w:eastAsia="Calibri" w:hAnsi="Times New Roman"/>
          <w:color w:val="000000"/>
          <w:szCs w:val="22"/>
          <w:lang w:eastAsia="en-US"/>
        </w:rPr>
        <w:t xml:space="preserve"> (18 Personas)</w:t>
      </w:r>
    </w:p>
    <w:p w14:paraId="33F8B057"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o</w:t>
      </w:r>
      <w:r w:rsidRPr="00A27653">
        <w:rPr>
          <w:rFonts w:ascii="Times New Roman" w:eastAsia="Calibri" w:hAnsi="Times New Roman"/>
          <w:color w:val="000000"/>
          <w:szCs w:val="22"/>
          <w:lang w:eastAsia="en-US"/>
        </w:rPr>
        <w:tab/>
        <w:t>Sala De Espera Médica (20 Personas)</w:t>
      </w:r>
    </w:p>
    <w:p w14:paraId="6691CCB3"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o</w:t>
      </w:r>
      <w:r w:rsidRPr="00A27653">
        <w:rPr>
          <w:rFonts w:ascii="Times New Roman" w:eastAsia="Calibri" w:hAnsi="Times New Roman"/>
          <w:color w:val="000000"/>
          <w:szCs w:val="22"/>
          <w:lang w:eastAsia="en-US"/>
        </w:rPr>
        <w:tab/>
        <w:t>Bodega Área De Salud</w:t>
      </w:r>
    </w:p>
    <w:p w14:paraId="0266D9BB" w14:textId="6657C3CC"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o</w:t>
      </w:r>
      <w:r w:rsidRPr="00A27653">
        <w:rPr>
          <w:rFonts w:ascii="Times New Roman" w:eastAsia="Calibri" w:hAnsi="Times New Roman"/>
          <w:color w:val="000000"/>
          <w:szCs w:val="22"/>
          <w:lang w:eastAsia="en-US"/>
        </w:rPr>
        <w:tab/>
        <w:t xml:space="preserve">2 </w:t>
      </w:r>
      <w:r w:rsidR="00A33DBB" w:rsidRPr="00A27653">
        <w:rPr>
          <w:rFonts w:ascii="Times New Roman" w:eastAsia="Calibri" w:hAnsi="Times New Roman"/>
          <w:color w:val="000000"/>
          <w:szCs w:val="22"/>
          <w:lang w:eastAsia="en-US"/>
        </w:rPr>
        <w:t>Clínicas</w:t>
      </w:r>
      <w:r w:rsidRPr="00A27653">
        <w:rPr>
          <w:rFonts w:ascii="Times New Roman" w:eastAsia="Calibri" w:hAnsi="Times New Roman"/>
          <w:color w:val="000000"/>
          <w:szCs w:val="22"/>
          <w:lang w:eastAsia="en-US"/>
        </w:rPr>
        <w:t xml:space="preserve"> De </w:t>
      </w:r>
      <w:proofErr w:type="spellStart"/>
      <w:r w:rsidRPr="00A27653">
        <w:rPr>
          <w:rFonts w:ascii="Times New Roman" w:eastAsia="Calibri" w:hAnsi="Times New Roman"/>
          <w:color w:val="000000"/>
          <w:szCs w:val="22"/>
          <w:lang w:eastAsia="en-US"/>
        </w:rPr>
        <w:t>Atencion</w:t>
      </w:r>
      <w:proofErr w:type="spellEnd"/>
      <w:r w:rsidRPr="00A27653">
        <w:rPr>
          <w:rFonts w:ascii="Times New Roman" w:eastAsia="Calibri" w:hAnsi="Times New Roman"/>
          <w:color w:val="000000"/>
          <w:szCs w:val="22"/>
          <w:lang w:eastAsia="en-US"/>
        </w:rPr>
        <w:t xml:space="preserve"> Medica</w:t>
      </w:r>
    </w:p>
    <w:p w14:paraId="3EBB8139" w14:textId="0F30F085"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o</w:t>
      </w:r>
      <w:r w:rsidRPr="00A27653">
        <w:rPr>
          <w:rFonts w:ascii="Times New Roman" w:eastAsia="Calibri" w:hAnsi="Times New Roman"/>
          <w:color w:val="000000"/>
          <w:szCs w:val="22"/>
          <w:lang w:eastAsia="en-US"/>
        </w:rPr>
        <w:tab/>
        <w:t xml:space="preserve">2 </w:t>
      </w:r>
      <w:r w:rsidR="00A33DBB" w:rsidRPr="00A27653">
        <w:rPr>
          <w:rFonts w:ascii="Times New Roman" w:eastAsia="Calibri" w:hAnsi="Times New Roman"/>
          <w:color w:val="000000"/>
          <w:szCs w:val="22"/>
          <w:lang w:eastAsia="en-US"/>
        </w:rPr>
        <w:t>Clínicas</w:t>
      </w:r>
      <w:r w:rsidRPr="00A27653">
        <w:rPr>
          <w:rFonts w:ascii="Times New Roman" w:eastAsia="Calibri" w:hAnsi="Times New Roman"/>
          <w:color w:val="000000"/>
          <w:szCs w:val="22"/>
          <w:lang w:eastAsia="en-US"/>
        </w:rPr>
        <w:t xml:space="preserve"> De </w:t>
      </w:r>
      <w:proofErr w:type="spellStart"/>
      <w:r w:rsidRPr="00A27653">
        <w:rPr>
          <w:rFonts w:ascii="Times New Roman" w:eastAsia="Calibri" w:hAnsi="Times New Roman"/>
          <w:color w:val="000000"/>
          <w:szCs w:val="22"/>
          <w:lang w:eastAsia="en-US"/>
        </w:rPr>
        <w:t>Atencion</w:t>
      </w:r>
      <w:proofErr w:type="spellEnd"/>
      <w:r w:rsidRPr="00A27653">
        <w:rPr>
          <w:rFonts w:ascii="Times New Roman" w:eastAsia="Calibri" w:hAnsi="Times New Roman"/>
          <w:color w:val="000000"/>
          <w:szCs w:val="22"/>
          <w:lang w:eastAsia="en-US"/>
        </w:rPr>
        <w:t xml:space="preserve"> Psicológica</w:t>
      </w:r>
    </w:p>
    <w:p w14:paraId="3A593A95"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GRUPOS FAMILIARES</w:t>
      </w:r>
    </w:p>
    <w:p w14:paraId="0C292C91" w14:textId="59ED1195"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o</w:t>
      </w:r>
      <w:r w:rsidRPr="00A27653">
        <w:rPr>
          <w:rFonts w:ascii="Times New Roman" w:eastAsia="Calibri" w:hAnsi="Times New Roman"/>
          <w:color w:val="000000"/>
          <w:szCs w:val="22"/>
          <w:lang w:eastAsia="en-US"/>
        </w:rPr>
        <w:tab/>
        <w:t xml:space="preserve">Sala De </w:t>
      </w:r>
      <w:r w:rsidR="00A33DBB" w:rsidRPr="00A27653">
        <w:rPr>
          <w:rFonts w:ascii="Times New Roman" w:eastAsia="Calibri" w:hAnsi="Times New Roman"/>
          <w:color w:val="000000"/>
          <w:szCs w:val="22"/>
          <w:lang w:eastAsia="en-US"/>
        </w:rPr>
        <w:t>atenciÃ³n</w:t>
      </w:r>
      <w:r w:rsidRPr="00A27653">
        <w:rPr>
          <w:rFonts w:ascii="Times New Roman" w:eastAsia="Calibri" w:hAnsi="Times New Roman"/>
          <w:color w:val="000000"/>
          <w:szCs w:val="22"/>
          <w:lang w:eastAsia="en-US"/>
        </w:rPr>
        <w:t xml:space="preserve"> Grupos Familiares </w:t>
      </w:r>
      <w:proofErr w:type="spellStart"/>
      <w:r w:rsidRPr="00A27653">
        <w:rPr>
          <w:rFonts w:ascii="Times New Roman" w:eastAsia="Calibri" w:hAnsi="Times New Roman"/>
          <w:color w:val="000000"/>
          <w:szCs w:val="22"/>
          <w:lang w:eastAsia="en-US"/>
        </w:rPr>
        <w:t>Sosep</w:t>
      </w:r>
      <w:proofErr w:type="spellEnd"/>
      <w:r w:rsidRPr="00A27653">
        <w:rPr>
          <w:rFonts w:ascii="Times New Roman" w:eastAsia="Calibri" w:hAnsi="Times New Roman"/>
          <w:color w:val="000000"/>
          <w:szCs w:val="22"/>
          <w:lang w:eastAsia="en-US"/>
        </w:rPr>
        <w:t xml:space="preserve"> (36 Personas)</w:t>
      </w:r>
    </w:p>
    <w:p w14:paraId="229F6043"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o</w:t>
      </w:r>
      <w:r w:rsidRPr="00A27653">
        <w:rPr>
          <w:rFonts w:ascii="Times New Roman" w:eastAsia="Calibri" w:hAnsi="Times New Roman"/>
          <w:color w:val="000000"/>
          <w:szCs w:val="22"/>
          <w:lang w:eastAsia="en-US"/>
        </w:rPr>
        <w:tab/>
        <w:t>Área De Lactancia</w:t>
      </w:r>
    </w:p>
    <w:p w14:paraId="573CBCE9"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o</w:t>
      </w:r>
      <w:r w:rsidRPr="00A27653">
        <w:rPr>
          <w:rFonts w:ascii="Times New Roman" w:eastAsia="Calibri" w:hAnsi="Times New Roman"/>
          <w:color w:val="000000"/>
          <w:szCs w:val="22"/>
          <w:lang w:eastAsia="en-US"/>
        </w:rPr>
        <w:tab/>
        <w:t>2 Salas De Entrevista Psicosocial Privadas</w:t>
      </w:r>
    </w:p>
    <w:p w14:paraId="502816ED" w14:textId="7FCF6855"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roofErr w:type="spellStart"/>
      <w:r w:rsidRPr="00A27653">
        <w:rPr>
          <w:rFonts w:ascii="Times New Roman" w:eastAsia="Calibri" w:hAnsi="Times New Roman"/>
          <w:color w:val="000000"/>
          <w:szCs w:val="22"/>
          <w:lang w:eastAsia="en-US"/>
        </w:rPr>
        <w:t>o</w:t>
      </w:r>
      <w:proofErr w:type="spellEnd"/>
      <w:r w:rsidRPr="00A27653">
        <w:rPr>
          <w:rFonts w:ascii="Times New Roman" w:eastAsia="Calibri" w:hAnsi="Times New Roman"/>
          <w:color w:val="000000"/>
          <w:szCs w:val="22"/>
          <w:lang w:eastAsia="en-US"/>
        </w:rPr>
        <w:tab/>
        <w:t xml:space="preserve">Oficina </w:t>
      </w:r>
      <w:r w:rsidR="00A33DBB" w:rsidRPr="00A27653">
        <w:rPr>
          <w:rFonts w:ascii="Times New Roman" w:eastAsia="Calibri" w:hAnsi="Times New Roman"/>
          <w:color w:val="000000"/>
          <w:szCs w:val="22"/>
          <w:lang w:eastAsia="en-US"/>
        </w:rPr>
        <w:t>SOSEP</w:t>
      </w:r>
    </w:p>
    <w:p w14:paraId="2D046B99" w14:textId="5415EB09"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o</w:t>
      </w:r>
      <w:r w:rsidRPr="00A27653">
        <w:rPr>
          <w:rFonts w:ascii="Times New Roman" w:eastAsia="Calibri" w:hAnsi="Times New Roman"/>
          <w:color w:val="000000"/>
          <w:szCs w:val="22"/>
          <w:lang w:eastAsia="en-US"/>
        </w:rPr>
        <w:tab/>
        <w:t xml:space="preserve">Bodega </w:t>
      </w:r>
      <w:r w:rsidR="00A33DBB" w:rsidRPr="00A27653">
        <w:rPr>
          <w:rFonts w:ascii="Times New Roman" w:eastAsia="Calibri" w:hAnsi="Times New Roman"/>
          <w:color w:val="000000"/>
          <w:szCs w:val="22"/>
          <w:lang w:eastAsia="en-US"/>
        </w:rPr>
        <w:t>SOSEP</w:t>
      </w:r>
    </w:p>
    <w:p w14:paraId="1DA09CD5"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NIÑEZ NO ACOMPAÑADA</w:t>
      </w:r>
    </w:p>
    <w:p w14:paraId="35AD5F76"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roofErr w:type="spellStart"/>
      <w:r w:rsidRPr="00A27653">
        <w:rPr>
          <w:rFonts w:ascii="Times New Roman" w:eastAsia="Calibri" w:hAnsi="Times New Roman"/>
          <w:color w:val="000000"/>
          <w:szCs w:val="22"/>
          <w:lang w:eastAsia="en-US"/>
        </w:rPr>
        <w:t>o</w:t>
      </w:r>
      <w:proofErr w:type="spellEnd"/>
      <w:r w:rsidRPr="00A27653">
        <w:rPr>
          <w:rFonts w:ascii="Times New Roman" w:eastAsia="Calibri" w:hAnsi="Times New Roman"/>
          <w:color w:val="000000"/>
          <w:szCs w:val="22"/>
          <w:lang w:eastAsia="en-US"/>
        </w:rPr>
        <w:tab/>
        <w:t xml:space="preserve">Oficina </w:t>
      </w:r>
      <w:proofErr w:type="spellStart"/>
      <w:r w:rsidRPr="00A27653">
        <w:rPr>
          <w:rFonts w:ascii="Times New Roman" w:eastAsia="Calibri" w:hAnsi="Times New Roman"/>
          <w:color w:val="000000"/>
          <w:szCs w:val="22"/>
          <w:lang w:eastAsia="en-US"/>
        </w:rPr>
        <w:t>Sbs</w:t>
      </w:r>
      <w:proofErr w:type="spellEnd"/>
    </w:p>
    <w:p w14:paraId="573401AA" w14:textId="47A2C4BD"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o</w:t>
      </w:r>
      <w:r w:rsidRPr="00A27653">
        <w:rPr>
          <w:rFonts w:ascii="Times New Roman" w:eastAsia="Calibri" w:hAnsi="Times New Roman"/>
          <w:color w:val="000000"/>
          <w:szCs w:val="22"/>
          <w:lang w:eastAsia="en-US"/>
        </w:rPr>
        <w:tab/>
        <w:t xml:space="preserve">Bodega </w:t>
      </w:r>
      <w:r w:rsidR="0041678D" w:rsidRPr="00A27653">
        <w:rPr>
          <w:rFonts w:ascii="Times New Roman" w:eastAsia="Calibri" w:hAnsi="Times New Roman"/>
          <w:color w:val="000000"/>
          <w:szCs w:val="22"/>
          <w:lang w:eastAsia="en-US"/>
        </w:rPr>
        <w:t>SBS</w:t>
      </w:r>
    </w:p>
    <w:p w14:paraId="0130C1C2"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o</w:t>
      </w:r>
      <w:r w:rsidRPr="00A27653">
        <w:rPr>
          <w:rFonts w:ascii="Times New Roman" w:eastAsia="Calibri" w:hAnsi="Times New Roman"/>
          <w:color w:val="000000"/>
          <w:szCs w:val="22"/>
          <w:lang w:eastAsia="en-US"/>
        </w:rPr>
        <w:tab/>
        <w:t>Área De Juegos Infantiles</w:t>
      </w:r>
    </w:p>
    <w:p w14:paraId="4685F1A3"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o</w:t>
      </w:r>
      <w:r w:rsidRPr="00A27653">
        <w:rPr>
          <w:rFonts w:ascii="Times New Roman" w:eastAsia="Calibri" w:hAnsi="Times New Roman"/>
          <w:color w:val="000000"/>
          <w:szCs w:val="22"/>
          <w:lang w:eastAsia="en-US"/>
        </w:rPr>
        <w:tab/>
        <w:t>Área De Cuna</w:t>
      </w:r>
    </w:p>
    <w:p w14:paraId="1B93E2F8"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roofErr w:type="spellStart"/>
      <w:r w:rsidRPr="00A27653">
        <w:rPr>
          <w:rFonts w:ascii="Times New Roman" w:eastAsia="Calibri" w:hAnsi="Times New Roman"/>
          <w:color w:val="000000"/>
          <w:szCs w:val="22"/>
          <w:lang w:eastAsia="en-US"/>
        </w:rPr>
        <w:t>o</w:t>
      </w:r>
      <w:proofErr w:type="spellEnd"/>
      <w:r w:rsidRPr="00A27653">
        <w:rPr>
          <w:rFonts w:ascii="Times New Roman" w:eastAsia="Calibri" w:hAnsi="Times New Roman"/>
          <w:color w:val="000000"/>
          <w:szCs w:val="22"/>
          <w:lang w:eastAsia="en-US"/>
        </w:rPr>
        <w:tab/>
        <w:t>Oficina Png</w:t>
      </w:r>
    </w:p>
    <w:p w14:paraId="1377007D"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lastRenderedPageBreak/>
        <w:t>o</w:t>
      </w:r>
      <w:r w:rsidRPr="00A27653">
        <w:rPr>
          <w:rFonts w:ascii="Times New Roman" w:eastAsia="Calibri" w:hAnsi="Times New Roman"/>
          <w:color w:val="000000"/>
          <w:szCs w:val="22"/>
          <w:lang w:eastAsia="en-US"/>
        </w:rPr>
        <w:tab/>
        <w:t>Sala De Espera Para Niñez No Acompañada (45 Personas)</w:t>
      </w:r>
    </w:p>
    <w:p w14:paraId="575A7E52"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ADMINISTRATIVO</w:t>
      </w:r>
    </w:p>
    <w:p w14:paraId="45ACF17F" w14:textId="3AA4259B"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o</w:t>
      </w:r>
      <w:r w:rsidRPr="00A27653">
        <w:rPr>
          <w:rFonts w:ascii="Times New Roman" w:eastAsia="Calibri" w:hAnsi="Times New Roman"/>
          <w:color w:val="000000"/>
          <w:szCs w:val="22"/>
          <w:lang w:eastAsia="en-US"/>
        </w:rPr>
        <w:tab/>
        <w:t xml:space="preserve">Parqueo 9 </w:t>
      </w:r>
      <w:r w:rsidR="0041678D" w:rsidRPr="00A27653">
        <w:rPr>
          <w:rFonts w:ascii="Times New Roman" w:eastAsia="Calibri" w:hAnsi="Times New Roman"/>
          <w:color w:val="000000"/>
          <w:szCs w:val="22"/>
          <w:lang w:eastAsia="en-US"/>
        </w:rPr>
        <w:t>Vehículos</w:t>
      </w:r>
    </w:p>
    <w:p w14:paraId="16B96995"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o</w:t>
      </w:r>
      <w:r w:rsidRPr="00A27653">
        <w:rPr>
          <w:rFonts w:ascii="Times New Roman" w:eastAsia="Calibri" w:hAnsi="Times New Roman"/>
          <w:color w:val="000000"/>
          <w:szCs w:val="22"/>
          <w:lang w:eastAsia="en-US"/>
        </w:rPr>
        <w:tab/>
        <w:t>Bodegas</w:t>
      </w:r>
    </w:p>
    <w:p w14:paraId="621447CD"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 xml:space="preserve"> </w:t>
      </w:r>
    </w:p>
    <w:p w14:paraId="3F137909"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691727E2"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o</w:t>
      </w:r>
      <w:r w:rsidRPr="00A27653">
        <w:rPr>
          <w:rFonts w:ascii="Times New Roman" w:eastAsia="Calibri" w:hAnsi="Times New Roman"/>
          <w:color w:val="000000"/>
          <w:szCs w:val="22"/>
          <w:lang w:eastAsia="en-US"/>
        </w:rPr>
        <w:tab/>
        <w:t>Control de Ingresos Administrativo</w:t>
      </w:r>
    </w:p>
    <w:p w14:paraId="3861EC3C"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roofErr w:type="spellStart"/>
      <w:r w:rsidRPr="00A27653">
        <w:rPr>
          <w:rFonts w:ascii="Times New Roman" w:eastAsia="Calibri" w:hAnsi="Times New Roman"/>
          <w:color w:val="000000"/>
          <w:szCs w:val="22"/>
          <w:lang w:eastAsia="en-US"/>
        </w:rPr>
        <w:t>o</w:t>
      </w:r>
      <w:proofErr w:type="spellEnd"/>
      <w:r w:rsidRPr="00A27653">
        <w:rPr>
          <w:rFonts w:ascii="Times New Roman" w:eastAsia="Calibri" w:hAnsi="Times New Roman"/>
          <w:color w:val="000000"/>
          <w:szCs w:val="22"/>
          <w:lang w:eastAsia="en-US"/>
        </w:rPr>
        <w:tab/>
        <w:t>Oficina 1</w:t>
      </w:r>
    </w:p>
    <w:p w14:paraId="1FB07930"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roofErr w:type="spellStart"/>
      <w:r w:rsidRPr="00A27653">
        <w:rPr>
          <w:rFonts w:ascii="Times New Roman" w:eastAsia="Calibri" w:hAnsi="Times New Roman"/>
          <w:color w:val="000000"/>
          <w:szCs w:val="22"/>
          <w:lang w:eastAsia="en-US"/>
        </w:rPr>
        <w:t>o</w:t>
      </w:r>
      <w:proofErr w:type="spellEnd"/>
      <w:r w:rsidRPr="00A27653">
        <w:rPr>
          <w:rFonts w:ascii="Times New Roman" w:eastAsia="Calibri" w:hAnsi="Times New Roman"/>
          <w:color w:val="000000"/>
          <w:szCs w:val="22"/>
          <w:lang w:eastAsia="en-US"/>
        </w:rPr>
        <w:tab/>
        <w:t xml:space="preserve">Oficina </w:t>
      </w:r>
      <w:proofErr w:type="spellStart"/>
      <w:r w:rsidRPr="00A27653">
        <w:rPr>
          <w:rFonts w:ascii="Times New Roman" w:eastAsia="Calibri" w:hAnsi="Times New Roman"/>
          <w:color w:val="000000"/>
          <w:szCs w:val="22"/>
          <w:lang w:eastAsia="en-US"/>
        </w:rPr>
        <w:t>It</w:t>
      </w:r>
      <w:proofErr w:type="spellEnd"/>
    </w:p>
    <w:p w14:paraId="5025F38A"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o</w:t>
      </w:r>
      <w:r w:rsidRPr="00A27653">
        <w:rPr>
          <w:rFonts w:ascii="Times New Roman" w:eastAsia="Calibri" w:hAnsi="Times New Roman"/>
          <w:color w:val="000000"/>
          <w:szCs w:val="22"/>
          <w:lang w:eastAsia="en-US"/>
        </w:rPr>
        <w:tab/>
        <w:t>Cuarto De Video Vigilancia</w:t>
      </w:r>
    </w:p>
    <w:p w14:paraId="5AFCCB73"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o</w:t>
      </w:r>
      <w:r w:rsidRPr="00A27653">
        <w:rPr>
          <w:rFonts w:ascii="Times New Roman" w:eastAsia="Calibri" w:hAnsi="Times New Roman"/>
          <w:color w:val="000000"/>
          <w:szCs w:val="22"/>
          <w:lang w:eastAsia="en-US"/>
        </w:rPr>
        <w:tab/>
        <w:t>Área De Cocineta+ Comedor</w:t>
      </w:r>
    </w:p>
    <w:p w14:paraId="2F15DE35"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o</w:t>
      </w:r>
      <w:r w:rsidRPr="00A27653">
        <w:rPr>
          <w:rFonts w:ascii="Times New Roman" w:eastAsia="Calibri" w:hAnsi="Times New Roman"/>
          <w:color w:val="000000"/>
          <w:szCs w:val="22"/>
          <w:lang w:eastAsia="en-US"/>
        </w:rPr>
        <w:tab/>
        <w:t>Sala De Reuniones De 8 Personas</w:t>
      </w:r>
    </w:p>
    <w:p w14:paraId="74FA7283"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o</w:t>
      </w:r>
      <w:r w:rsidRPr="00A27653">
        <w:rPr>
          <w:rFonts w:ascii="Times New Roman" w:eastAsia="Calibri" w:hAnsi="Times New Roman"/>
          <w:color w:val="000000"/>
          <w:szCs w:val="22"/>
          <w:lang w:eastAsia="en-US"/>
        </w:rPr>
        <w:tab/>
        <w:t>Habitación Para Mujeres (4 Personas)</w:t>
      </w:r>
    </w:p>
    <w:p w14:paraId="470814EF"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o</w:t>
      </w:r>
      <w:r w:rsidRPr="00A27653">
        <w:rPr>
          <w:rFonts w:ascii="Times New Roman" w:eastAsia="Calibri" w:hAnsi="Times New Roman"/>
          <w:color w:val="000000"/>
          <w:szCs w:val="22"/>
          <w:lang w:eastAsia="en-US"/>
        </w:rPr>
        <w:tab/>
        <w:t>S.S. Y Ducha Mujeres</w:t>
      </w:r>
    </w:p>
    <w:p w14:paraId="1C17ECB8"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o</w:t>
      </w:r>
      <w:r w:rsidRPr="00A27653">
        <w:rPr>
          <w:rFonts w:ascii="Times New Roman" w:eastAsia="Calibri" w:hAnsi="Times New Roman"/>
          <w:color w:val="000000"/>
          <w:szCs w:val="22"/>
          <w:lang w:eastAsia="en-US"/>
        </w:rPr>
        <w:tab/>
        <w:t>Habitación Para Hombres (4 Personas)</w:t>
      </w:r>
    </w:p>
    <w:p w14:paraId="5CE104CA"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o</w:t>
      </w:r>
      <w:r w:rsidRPr="00A27653">
        <w:rPr>
          <w:rFonts w:ascii="Times New Roman" w:eastAsia="Calibri" w:hAnsi="Times New Roman"/>
          <w:color w:val="000000"/>
          <w:szCs w:val="22"/>
          <w:lang w:eastAsia="en-US"/>
        </w:rPr>
        <w:tab/>
        <w:t>S.S. Y Ducha Hombres</w:t>
      </w:r>
    </w:p>
    <w:p w14:paraId="3F81B132"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o</w:t>
      </w:r>
      <w:r w:rsidRPr="00A27653">
        <w:rPr>
          <w:rFonts w:ascii="Times New Roman" w:eastAsia="Calibri" w:hAnsi="Times New Roman"/>
          <w:color w:val="000000"/>
          <w:szCs w:val="22"/>
          <w:lang w:eastAsia="en-US"/>
        </w:rPr>
        <w:tab/>
        <w:t>Bodega</w:t>
      </w:r>
    </w:p>
    <w:p w14:paraId="6D778FA5"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1ECEADE5"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1.1.</w:t>
      </w:r>
      <w:r w:rsidRPr="00A27653">
        <w:rPr>
          <w:rFonts w:ascii="Times New Roman" w:eastAsia="Calibri" w:hAnsi="Times New Roman"/>
          <w:color w:val="000000"/>
          <w:szCs w:val="22"/>
          <w:lang w:eastAsia="en-US"/>
        </w:rPr>
        <w:tab/>
        <w:t>MATERIALES Y EQUIPO</w:t>
      </w:r>
    </w:p>
    <w:p w14:paraId="79F1F4E4"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Todos los materiales a emplearse en los trabajos deberán tener las calidades descritas en las presentes especificaciones, por lo que se efectuarán los análisis y pruebas de laboratorio y de campo, que tanto el constructor como el supervisor lo estimen necesarios para su comprobación.</w:t>
      </w:r>
    </w:p>
    <w:p w14:paraId="524CD2B3"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Se utilizará solamente equipo y herramienta en buenas condiciones tales que permitan garantizar un desenvolvimiento seguro y eficiente de los trabajos.</w:t>
      </w:r>
    </w:p>
    <w:p w14:paraId="683C113D"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El constructor deberá proveer todos los elementos necesarios para la ejecución de la obra, incluyendo mano de obra, materiales, utensilios, herramientas, equipo y cualquier otro elemento indispensable para su normal desarrollo.</w:t>
      </w:r>
    </w:p>
    <w:p w14:paraId="636E46CC"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189EE0B2"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221EC550"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1.2.</w:t>
      </w:r>
      <w:r w:rsidRPr="00A27653">
        <w:rPr>
          <w:rFonts w:ascii="Times New Roman" w:eastAsia="Calibri" w:hAnsi="Times New Roman"/>
          <w:color w:val="000000"/>
          <w:szCs w:val="22"/>
          <w:lang w:eastAsia="en-US"/>
        </w:rPr>
        <w:tab/>
        <w:t>LICENCIAS Y AUTORIZACIONES.</w:t>
      </w:r>
    </w:p>
    <w:p w14:paraId="11844DD4"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Todas las licencias de autorizaciones necesarias para la ejecución de la obra serán tramitadas y pagadas por el desarrollador ante las dependencias oficiales correspondientes, debiendo cumplir con todas las disposiciones que para el efecto deban cumplirse.</w:t>
      </w:r>
    </w:p>
    <w:p w14:paraId="1BAA8799"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7820BA4B"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1A97B48D"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1.3.</w:t>
      </w:r>
      <w:r w:rsidRPr="00A27653">
        <w:rPr>
          <w:rFonts w:ascii="Times New Roman" w:eastAsia="Calibri" w:hAnsi="Times New Roman"/>
          <w:color w:val="000000"/>
          <w:szCs w:val="22"/>
          <w:lang w:eastAsia="en-US"/>
        </w:rPr>
        <w:tab/>
        <w:t>PROCEDIMIENTO PARA EJECUCIÓN</w:t>
      </w:r>
    </w:p>
    <w:p w14:paraId="48F64EE0"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La construcción deberá realizarse con los métodos más adecuados y apropiados según la naturaleza de cada uno de los renglones de trabajo.</w:t>
      </w:r>
    </w:p>
    <w:p w14:paraId="2C3CD66C" w14:textId="5C32727F"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 xml:space="preserve">Cualquier error u omisión en el proyecto o en las presentes especificaciones no eximen al constructor de su responsabilidad de efectuar un trabajó satisfactorio </w:t>
      </w:r>
      <w:r w:rsidR="00D37638" w:rsidRPr="00A27653">
        <w:rPr>
          <w:rFonts w:ascii="Times New Roman" w:eastAsia="Calibri" w:hAnsi="Times New Roman"/>
          <w:color w:val="000000"/>
          <w:szCs w:val="22"/>
          <w:lang w:eastAsia="en-US"/>
        </w:rPr>
        <w:t>de acuerdo con</w:t>
      </w:r>
      <w:r w:rsidRPr="00A27653">
        <w:rPr>
          <w:rFonts w:ascii="Times New Roman" w:eastAsia="Calibri" w:hAnsi="Times New Roman"/>
          <w:color w:val="000000"/>
          <w:szCs w:val="22"/>
          <w:lang w:eastAsia="en-US"/>
        </w:rPr>
        <w:t xml:space="preserve"> la buena práctica de la construcción.</w:t>
      </w:r>
    </w:p>
    <w:p w14:paraId="34FAA80E"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Asimismo, en todo momento, el constructor deberá observar toda la reglamentación vigente en el territorio de la República de Guatemala y en la jurisdicción del proyecto, en materia de construcción.</w:t>
      </w:r>
    </w:p>
    <w:p w14:paraId="42ED2F72" w14:textId="36D47B4D" w:rsid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En materia de ejecución del proyecto, las presentes especificaciones establecen los procedimientos de construcción e instalación que se consideren más convenientes,</w:t>
      </w:r>
      <w:r w:rsidR="00D37638">
        <w:rPr>
          <w:rFonts w:ascii="Times New Roman" w:eastAsia="Calibri" w:hAnsi="Times New Roman"/>
          <w:color w:val="000000"/>
          <w:szCs w:val="22"/>
          <w:lang w:eastAsia="en-US"/>
        </w:rPr>
        <w:t xml:space="preserve"> </w:t>
      </w:r>
      <w:r w:rsidRPr="00A27653">
        <w:rPr>
          <w:rFonts w:ascii="Times New Roman" w:eastAsia="Calibri" w:hAnsi="Times New Roman"/>
          <w:color w:val="000000"/>
          <w:szCs w:val="22"/>
          <w:lang w:eastAsia="en-US"/>
        </w:rPr>
        <w:t>los cuales deberán observarse, a menos que se planteen mejores alternativas cuya adopción deberá ser aprobada por la supervisión.</w:t>
      </w:r>
    </w:p>
    <w:p w14:paraId="60B06A77" w14:textId="77777777" w:rsidR="00D37638" w:rsidRPr="00A27653" w:rsidRDefault="00D37638" w:rsidP="00A27653">
      <w:pPr>
        <w:autoSpaceDE w:val="0"/>
        <w:autoSpaceDN w:val="0"/>
        <w:adjustRightInd w:val="0"/>
        <w:jc w:val="both"/>
        <w:rPr>
          <w:rFonts w:ascii="Times New Roman" w:eastAsia="Calibri" w:hAnsi="Times New Roman"/>
          <w:color w:val="000000"/>
          <w:szCs w:val="22"/>
          <w:lang w:eastAsia="en-US"/>
        </w:rPr>
      </w:pPr>
    </w:p>
    <w:p w14:paraId="20420268"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1.4.</w:t>
      </w:r>
      <w:r w:rsidRPr="00A27653">
        <w:rPr>
          <w:rFonts w:ascii="Times New Roman" w:eastAsia="Calibri" w:hAnsi="Times New Roman"/>
          <w:color w:val="000000"/>
          <w:szCs w:val="22"/>
          <w:lang w:eastAsia="en-US"/>
        </w:rPr>
        <w:tab/>
        <w:t>PRUEBAS Y TOLERANCIAS</w:t>
      </w:r>
    </w:p>
    <w:p w14:paraId="1F630907"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En cada uno de los renglones de trabajo se han incluido en este pliego de especificaciones, las normas, pruebas y tolerancias que deben regir, no sólo la calidad de los productos a utilizar, sino también la forma en que se ejecuten los trabajos e instalaciones.</w:t>
      </w:r>
    </w:p>
    <w:p w14:paraId="355E22B1"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En lo que se refiere a tolerancias, algunas veces se incluyen en el propio texto de las especificaciones o planos.</w:t>
      </w:r>
    </w:p>
    <w:p w14:paraId="7765AF46"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1301FB81"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4E1A4D11"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1.5.</w:t>
      </w:r>
      <w:r w:rsidRPr="00A27653">
        <w:rPr>
          <w:rFonts w:ascii="Times New Roman" w:eastAsia="Calibri" w:hAnsi="Times New Roman"/>
          <w:color w:val="000000"/>
          <w:szCs w:val="22"/>
          <w:lang w:eastAsia="en-US"/>
        </w:rPr>
        <w:tab/>
        <w:t>ALMACENAJE DE MATERIALES</w:t>
      </w:r>
    </w:p>
    <w:p w14:paraId="620B70C5"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CEMENTO. El cemento hidráulico se debe suministrar en sacos o barriles o bien a granel. El Contratista debe obtener de la compañía a la cual se le compra el cemento, un certificado del fabricante por cada embarque, en el que conste que el cemento entregado en la obra, llena los requisitos de las Especificaciones técnicas sobre el tipo de cemento para el uso especificado.</w:t>
      </w:r>
    </w:p>
    <w:p w14:paraId="4514231A" w14:textId="2C1FC079"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 xml:space="preserve">ALMACENAJE DE SACOS. Los locales o bodegas para el almacenaje de sacos de cemento deben ser sitios adecuados en los que éstos queden debidamente protegidos de la lluvia y de la humedad; en los trabajos pequeños y en forma temporal, el </w:t>
      </w:r>
      <w:proofErr w:type="gramStart"/>
      <w:r w:rsidRPr="00A27653">
        <w:rPr>
          <w:rFonts w:ascii="Times New Roman" w:eastAsia="Calibri" w:hAnsi="Times New Roman"/>
          <w:color w:val="000000"/>
          <w:szCs w:val="22"/>
          <w:lang w:eastAsia="en-US"/>
        </w:rPr>
        <w:t>Delegado</w:t>
      </w:r>
      <w:proofErr w:type="gramEnd"/>
      <w:r w:rsidRPr="00A27653">
        <w:rPr>
          <w:rFonts w:ascii="Times New Roman" w:eastAsia="Calibri" w:hAnsi="Times New Roman"/>
          <w:color w:val="000000"/>
          <w:szCs w:val="22"/>
          <w:lang w:eastAsia="en-US"/>
        </w:rPr>
        <w:t xml:space="preserve"> Residente podrá autorizar el apilamiento al aire libre sobre plataforma separada del suelo y amplia cubierta impermeable. Durante su transporte y almacenamiento, el cemento en sacos no debe ser apilado en pilas de más de diez (10) sacos. Los diferentes envíos de cemento en sacos, se deben almacenar por separado a fin de facilitar su identificación e inspección. Como precaución adicional se recomienda que cuando esto sea factible, el cemento más antiguo sea utilizado primero. Cuando el cemento en sacos haya estado almacenado por más de sesenta</w:t>
      </w:r>
      <w:r w:rsidR="00D37638">
        <w:rPr>
          <w:rFonts w:ascii="Times New Roman" w:eastAsia="Calibri" w:hAnsi="Times New Roman"/>
          <w:color w:val="000000"/>
          <w:szCs w:val="22"/>
          <w:lang w:eastAsia="en-US"/>
        </w:rPr>
        <w:t xml:space="preserve"> </w:t>
      </w:r>
      <w:r w:rsidRPr="00A27653">
        <w:rPr>
          <w:rFonts w:ascii="Times New Roman" w:eastAsia="Calibri" w:hAnsi="Times New Roman"/>
          <w:color w:val="000000"/>
          <w:szCs w:val="22"/>
          <w:lang w:eastAsia="en-US"/>
        </w:rPr>
        <w:t>(60) días, o cuando el delegado Residente compruebe que ha sufrido algún daño, éste debe ser re inspeccionado y reensayado, a fin de establecer si puede ser utilizado nuevamente. No se debe usar cemento dañado por exposición a la humedad, parcialmente fraguado o que contenga terrones o que se haya endurecido; en estos casos, se debe rechazar el contenido total del saco, recipiente o bulto, el que debe ser retirado inmediata y definitivamente de la obra. No puede usarse el cemento recogido de sacos rechazados o usados, o proveniente de la limpieza de los mismos.</w:t>
      </w:r>
    </w:p>
    <w:p w14:paraId="309376E3"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AGREGADOS. Los agregados se pueden almacenar en pilas o silos; en términos generales, se deben almacenar y manejar en forma tal que se evite la segregación y la mezcla con materiales extraños.</w:t>
      </w:r>
    </w:p>
    <w:p w14:paraId="24449F29"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779AA050"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1.6.</w:t>
      </w:r>
      <w:r w:rsidRPr="00A27653">
        <w:rPr>
          <w:rFonts w:ascii="Times New Roman" w:eastAsia="Calibri" w:hAnsi="Times New Roman"/>
          <w:color w:val="000000"/>
          <w:szCs w:val="22"/>
          <w:lang w:eastAsia="en-US"/>
        </w:rPr>
        <w:tab/>
        <w:t>RECEPCIÓN DE OBRA</w:t>
      </w:r>
    </w:p>
    <w:p w14:paraId="020514A7"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La recepción definitiva de la obra se llevará a cabo cuando la totalidad de la construcción se encuentre terminada en un 100%. Incluye también el retiro de materiales sobrantes y equipo, limpieza final de toda la obra.</w:t>
      </w:r>
    </w:p>
    <w:p w14:paraId="17F5FA40"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 xml:space="preserve"> </w:t>
      </w:r>
    </w:p>
    <w:p w14:paraId="528E29D7"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32E7FD9D"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2.</w:t>
      </w:r>
      <w:r w:rsidRPr="00A27653">
        <w:rPr>
          <w:rFonts w:ascii="Times New Roman" w:eastAsia="Calibri" w:hAnsi="Times New Roman"/>
          <w:color w:val="000000"/>
          <w:szCs w:val="22"/>
          <w:lang w:eastAsia="en-US"/>
        </w:rPr>
        <w:tab/>
        <w:t>TRABAJOS PRELIMINARES</w:t>
      </w:r>
    </w:p>
    <w:p w14:paraId="08F94814"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2.1.</w:t>
      </w:r>
      <w:r w:rsidRPr="00A27653">
        <w:rPr>
          <w:rFonts w:ascii="Times New Roman" w:eastAsia="Calibri" w:hAnsi="Times New Roman"/>
          <w:color w:val="000000"/>
          <w:szCs w:val="22"/>
          <w:lang w:eastAsia="en-US"/>
        </w:rPr>
        <w:tab/>
        <w:t>LIMPIEZA DE ÁREA DE TRABAJO</w:t>
      </w:r>
    </w:p>
    <w:p w14:paraId="5E4EEB26"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Consiste en remover maleza y cualquier otra clase de residuos vegetales, hasta la profundidad adecuada.</w:t>
      </w:r>
    </w:p>
    <w:p w14:paraId="14A00060"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Extraer y eliminar raíces, troncos, hormigueros y cualquier otro elemento que pueda poner en peligro la estabilidad de los trabajos a realizar. El supervisor podrá solicitar medidas de seguridad adicionales a las propuestas por el Contratista, si lo considera necesario.</w:t>
      </w:r>
    </w:p>
    <w:p w14:paraId="593B281C"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Además de talar se deberá efectuar la limpia, chapeo y destronque, removiendo la totalidad de las raíces. Si la excavación para el destronque sobrepasa el nivel de cimentación, deberá rellenarse el área sobre la que descansarán zapatas y cimiento, con concreto ciclópeo que alcance una resistencia a la compresión de 175 kg/cm2 a los 28 días.</w:t>
      </w:r>
    </w:p>
    <w:p w14:paraId="4D7E8DB7"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Si la excavación para el destronque no coincide con la cimentación de la edificación se procederá a efectuar un relleno compactado.</w:t>
      </w:r>
    </w:p>
    <w:p w14:paraId="0B0F93A1"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Reunir de la obra todo el material producto de la limpieza y acarreo hacia un lugar apropiado donde no represente foco de contaminación y bajo autorización municipal local.</w:t>
      </w:r>
    </w:p>
    <w:p w14:paraId="6F9F3B69"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Rellenar y consolidar pozos con capas consecutivas de cal, suelo inerte debidamente compactado y agua.</w:t>
      </w:r>
    </w:p>
    <w:p w14:paraId="4AB726A0"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Como norma general, la estructura de la obra NO deberá ejecutarse sobre un pozo rellenado o un relleno no estructural.</w:t>
      </w:r>
    </w:p>
    <w:p w14:paraId="6F51AF26"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2BB93BA4"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2.2.</w:t>
      </w:r>
      <w:r w:rsidRPr="00A27653">
        <w:rPr>
          <w:rFonts w:ascii="Times New Roman" w:eastAsia="Calibri" w:hAnsi="Times New Roman"/>
          <w:color w:val="000000"/>
          <w:szCs w:val="22"/>
          <w:lang w:eastAsia="en-US"/>
        </w:rPr>
        <w:tab/>
        <w:t>TRAZO Y NIVELACIÓN</w:t>
      </w:r>
    </w:p>
    <w:p w14:paraId="7C31DFB6"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Consiste en la localización general, alineamientos y niveles de los diferentes elementos que componen las construcciones.</w:t>
      </w:r>
    </w:p>
    <w:p w14:paraId="206040DB"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lastRenderedPageBreak/>
        <w:t>Para referencias de trazos y niveles, el contratista deberá ejecutar bancos y mojones para la correcta localización de la obra, evitando cualquier tipo de desplazamiento, los cuales en bitácora serán aprobados por el supervisor, deberá mantener referencias de todos los ejes y bando de marca fuera del área de trabajo de la Obra, para poder replantear cualquier punto fácilmente, cuando sea necesario.</w:t>
      </w:r>
    </w:p>
    <w:p w14:paraId="27A4CF3A"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78AEAA5A"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2.3.</w:t>
      </w:r>
      <w:r w:rsidRPr="00A27653">
        <w:rPr>
          <w:rFonts w:ascii="Times New Roman" w:eastAsia="Calibri" w:hAnsi="Times New Roman"/>
          <w:color w:val="000000"/>
          <w:szCs w:val="22"/>
          <w:lang w:eastAsia="en-US"/>
        </w:rPr>
        <w:tab/>
        <w:t>RÓTULO DE IDENTIFICACIÓN DE PROYECTO</w:t>
      </w:r>
    </w:p>
    <w:p w14:paraId="5FCA2712"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Este renglón incluye el suministro e instalación de un Rótulo y base para la Identificación del Proyecto.</w:t>
      </w:r>
    </w:p>
    <w:p w14:paraId="6949B86D"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4C351419"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2.4.</w:t>
      </w:r>
      <w:r w:rsidRPr="00A27653">
        <w:rPr>
          <w:rFonts w:ascii="Times New Roman" w:eastAsia="Calibri" w:hAnsi="Times New Roman"/>
          <w:color w:val="000000"/>
          <w:szCs w:val="22"/>
          <w:lang w:eastAsia="en-US"/>
        </w:rPr>
        <w:tab/>
        <w:t>BODEGA</w:t>
      </w:r>
    </w:p>
    <w:p w14:paraId="2B50EF81" w14:textId="641755E2"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 xml:space="preserve">Se deberá contar con una bodega para almacenar adecuadamente los materiales de construcción que, por sus características, no puedan permanecer a la intemperie. </w:t>
      </w:r>
      <w:r w:rsidR="0041678D" w:rsidRPr="00A27653">
        <w:rPr>
          <w:rFonts w:ascii="Times New Roman" w:eastAsia="Calibri" w:hAnsi="Times New Roman"/>
          <w:color w:val="000000"/>
          <w:szCs w:val="22"/>
          <w:lang w:eastAsia="en-US"/>
        </w:rPr>
        <w:t>La localización</w:t>
      </w:r>
      <w:r w:rsidRPr="00A27653">
        <w:rPr>
          <w:rFonts w:ascii="Times New Roman" w:eastAsia="Calibri" w:hAnsi="Times New Roman"/>
          <w:color w:val="000000"/>
          <w:szCs w:val="22"/>
          <w:lang w:eastAsia="en-US"/>
        </w:rPr>
        <w:t xml:space="preserve"> no deberá interferir en el desarrollo de las actividades de la construcción   o de las actividades que se desarrollen en el establecimiento y deberá ser aprobaba por el Supervisor. La mano de obra y materiales para la construcción de la </w:t>
      </w:r>
      <w:r w:rsidR="00D37638" w:rsidRPr="00A27653">
        <w:rPr>
          <w:rFonts w:ascii="Times New Roman" w:eastAsia="Calibri" w:hAnsi="Times New Roman"/>
          <w:color w:val="000000"/>
          <w:szCs w:val="22"/>
          <w:lang w:eastAsia="en-US"/>
        </w:rPr>
        <w:t>bodega</w:t>
      </w:r>
      <w:r w:rsidRPr="00A27653">
        <w:rPr>
          <w:rFonts w:ascii="Times New Roman" w:eastAsia="Calibri" w:hAnsi="Times New Roman"/>
          <w:color w:val="000000"/>
          <w:szCs w:val="22"/>
          <w:lang w:eastAsia="en-US"/>
        </w:rPr>
        <w:t xml:space="preserve"> correrá a cargo del contratista.</w:t>
      </w:r>
    </w:p>
    <w:p w14:paraId="5B00FB55" w14:textId="3F373923"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 xml:space="preserve">Deberá construir, además, una guardianía adecuada que pueda estar incorporada a la bodega, para asegurar condiciones mínimas de habitabilidad al guardián de la Obra, el que deberá permanecer en la misma todo el tiempo que sea necesario </w:t>
      </w:r>
      <w:r w:rsidR="0041678D" w:rsidRPr="00A27653">
        <w:rPr>
          <w:rFonts w:ascii="Times New Roman" w:eastAsia="Calibri" w:hAnsi="Times New Roman"/>
          <w:color w:val="000000"/>
          <w:szCs w:val="22"/>
          <w:lang w:eastAsia="en-US"/>
        </w:rPr>
        <w:t>para asegurar</w:t>
      </w:r>
      <w:r w:rsidRPr="00A27653">
        <w:rPr>
          <w:rFonts w:ascii="Times New Roman" w:eastAsia="Calibri" w:hAnsi="Times New Roman"/>
          <w:color w:val="000000"/>
          <w:szCs w:val="22"/>
          <w:lang w:eastAsia="en-US"/>
        </w:rPr>
        <w:t xml:space="preserve"> la adecuada conservación del trabajo ejecutado y de los materiales depositados en la Obra.</w:t>
      </w:r>
    </w:p>
    <w:p w14:paraId="4FB6D30E"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 xml:space="preserve"> </w:t>
      </w:r>
    </w:p>
    <w:p w14:paraId="33CB9E7F"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258C42E2"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2.5.</w:t>
      </w:r>
      <w:r w:rsidRPr="00A27653">
        <w:rPr>
          <w:rFonts w:ascii="Times New Roman" w:eastAsia="Calibri" w:hAnsi="Times New Roman"/>
          <w:color w:val="000000"/>
          <w:szCs w:val="22"/>
          <w:lang w:eastAsia="en-US"/>
        </w:rPr>
        <w:tab/>
        <w:t>CERRAMIENTO PROVISIONAL DEL ÁREA DE CONSTRUCCIÓN</w:t>
      </w:r>
    </w:p>
    <w:p w14:paraId="10EE9C4A" w14:textId="1E29C515"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 xml:space="preserve">El Contratista deberá considerar los materiales de este renglón en el monto global </w:t>
      </w:r>
      <w:r w:rsidR="0041678D" w:rsidRPr="00A27653">
        <w:rPr>
          <w:rFonts w:ascii="Times New Roman" w:eastAsia="Calibri" w:hAnsi="Times New Roman"/>
          <w:color w:val="000000"/>
          <w:szCs w:val="22"/>
          <w:lang w:eastAsia="en-US"/>
        </w:rPr>
        <w:t>de su</w:t>
      </w:r>
      <w:r w:rsidRPr="00A27653">
        <w:rPr>
          <w:rFonts w:ascii="Times New Roman" w:eastAsia="Calibri" w:hAnsi="Times New Roman"/>
          <w:color w:val="000000"/>
          <w:szCs w:val="22"/>
          <w:lang w:eastAsia="en-US"/>
        </w:rPr>
        <w:t xml:space="preserve"> oferta, e indicar la clase de los mismos, así como la mano de obra para cerrar el área de construcción, para evitar que personas ajenas interfieran con el trabajo y lo destruyan o deterioren.</w:t>
      </w:r>
    </w:p>
    <w:p w14:paraId="2CEE8199" w14:textId="4CA7329F"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 xml:space="preserve">El Contratista someterá a la aprobación del Supervisor los materiales a utilizar para </w:t>
      </w:r>
      <w:r w:rsidR="0041678D" w:rsidRPr="00A27653">
        <w:rPr>
          <w:rFonts w:ascii="Times New Roman" w:eastAsia="Calibri" w:hAnsi="Times New Roman"/>
          <w:color w:val="000000"/>
          <w:szCs w:val="22"/>
          <w:lang w:eastAsia="en-US"/>
        </w:rPr>
        <w:t>el cerramiento</w:t>
      </w:r>
      <w:r w:rsidRPr="00A27653">
        <w:rPr>
          <w:rFonts w:ascii="Times New Roman" w:eastAsia="Calibri" w:hAnsi="Times New Roman"/>
          <w:color w:val="000000"/>
          <w:szCs w:val="22"/>
          <w:lang w:eastAsia="en-US"/>
        </w:rPr>
        <w:t>, lo que no deben de considerarse como sujetos de pago ya que serán provisionales y propiedad del Contratista.</w:t>
      </w:r>
    </w:p>
    <w:p w14:paraId="54EEA5B2"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625772B5"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2.6.</w:t>
      </w:r>
      <w:r w:rsidRPr="00A27653">
        <w:rPr>
          <w:rFonts w:ascii="Times New Roman" w:eastAsia="Calibri" w:hAnsi="Times New Roman"/>
          <w:color w:val="000000"/>
          <w:szCs w:val="22"/>
          <w:lang w:eastAsia="en-US"/>
        </w:rPr>
        <w:tab/>
        <w:t>INSTALACIONES PROVISIONALES DE AGUA Y LUZ</w:t>
      </w:r>
    </w:p>
    <w:p w14:paraId="4FD869D0" w14:textId="75DA08D2"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 xml:space="preserve">El Contratista será el responsable de efectuar las instalaciones provisionales de aguay luz, para garantizar el suministro de las mismas durante la construcción de la obra objeto del Contrato. En ningún caso, el Contratista utilizará materiales destinados a </w:t>
      </w:r>
      <w:r w:rsidR="004F15F8" w:rsidRPr="00A27653">
        <w:rPr>
          <w:rFonts w:ascii="Times New Roman" w:eastAsia="Calibri" w:hAnsi="Times New Roman"/>
          <w:color w:val="000000"/>
          <w:szCs w:val="22"/>
          <w:lang w:eastAsia="en-US"/>
        </w:rPr>
        <w:t>la obra</w:t>
      </w:r>
      <w:r w:rsidRPr="00A27653">
        <w:rPr>
          <w:rFonts w:ascii="Times New Roman" w:eastAsia="Calibri" w:hAnsi="Times New Roman"/>
          <w:color w:val="000000"/>
          <w:szCs w:val="22"/>
          <w:lang w:eastAsia="en-US"/>
        </w:rPr>
        <w:t xml:space="preserve"> para las instalaciones provisionales.</w:t>
      </w:r>
    </w:p>
    <w:p w14:paraId="3C602528"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El Contratista debe mantener la conexión temporal durante todo el desarrollo de la obra y sólo podrá sustituirse cuando el Supervisor lo determine por la conexión definitiva, a fin de poder efectuar en todo momento las pruebas eléctricas y de agua (potable y drenajes) necesarias. El Costo de estos servicios corre por cuenta del contratista y deberá incluirse dentro del precio de la oferta.</w:t>
      </w:r>
    </w:p>
    <w:p w14:paraId="4F7E4C24"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3B3BEE66"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3.</w:t>
      </w:r>
      <w:r w:rsidRPr="00A27653">
        <w:rPr>
          <w:rFonts w:ascii="Times New Roman" w:eastAsia="Calibri" w:hAnsi="Times New Roman"/>
          <w:color w:val="000000"/>
          <w:szCs w:val="22"/>
          <w:lang w:eastAsia="en-US"/>
        </w:rPr>
        <w:tab/>
        <w:t>URBANIZACIÓN</w:t>
      </w:r>
    </w:p>
    <w:p w14:paraId="0535996C"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3.1.</w:t>
      </w:r>
      <w:r w:rsidRPr="00A27653">
        <w:rPr>
          <w:rFonts w:ascii="Times New Roman" w:eastAsia="Calibri" w:hAnsi="Times New Roman"/>
          <w:color w:val="000000"/>
          <w:szCs w:val="22"/>
          <w:lang w:eastAsia="en-US"/>
        </w:rPr>
        <w:tab/>
        <w:t>CORTE Y NIVELACIÓN</w:t>
      </w:r>
    </w:p>
    <w:p w14:paraId="744B79F5"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Se efectuarán trabajos de nivelación del terreno y la extracción de material no deseado (ripio y material orgánico), el corte se realizará parejo y se le dará conformación al terreno para que sea uniforme al aplicarle el concreto.</w:t>
      </w:r>
    </w:p>
    <w:p w14:paraId="0E928EEA"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2781517E"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3.2.</w:t>
      </w:r>
      <w:r w:rsidRPr="00A27653">
        <w:rPr>
          <w:rFonts w:ascii="Times New Roman" w:eastAsia="Calibri" w:hAnsi="Times New Roman"/>
          <w:color w:val="000000"/>
          <w:szCs w:val="22"/>
          <w:lang w:eastAsia="en-US"/>
        </w:rPr>
        <w:tab/>
        <w:t>PAVIMENTO</w:t>
      </w:r>
    </w:p>
    <w:p w14:paraId="2720283D"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3.2.1.</w:t>
      </w:r>
      <w:r w:rsidRPr="00A27653">
        <w:rPr>
          <w:rFonts w:ascii="Times New Roman" w:eastAsia="Calibri" w:hAnsi="Times New Roman"/>
          <w:color w:val="000000"/>
          <w:szCs w:val="22"/>
          <w:lang w:eastAsia="en-US"/>
        </w:rPr>
        <w:tab/>
        <w:t>TIPO DE PAVIMENTO</w:t>
      </w:r>
    </w:p>
    <w:p w14:paraId="17B4815B"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El tipo de pavimento que se utilizará en este proyecto será de concreto hidráulico con una resistencia mínima de 3,000 psi, con sus respectivas obras accesorias como: bordillos, cunetas y rejillas, según sea el caso.</w:t>
      </w:r>
    </w:p>
    <w:p w14:paraId="02D347B2"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El pavimento de concreto debe cumplir con los requerimientos de una vida útil de 10 años y el espesor del concreto será como mínimo de 10 centímetros. La base será de material selecto con una aplicación de capas uniformes de no menos de 15 centímetros debidamente humedecidas y compactadas.</w:t>
      </w:r>
    </w:p>
    <w:p w14:paraId="7E721DA6"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Se construirán en ambos lados del pavimento bordillos en donde sea necesario con fundición de concreto de 3,000 psi de resistencia.</w:t>
      </w:r>
    </w:p>
    <w:p w14:paraId="7AE86D07"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lastRenderedPageBreak/>
        <w:t>3.2.2.</w:t>
      </w:r>
      <w:r w:rsidRPr="00A27653">
        <w:rPr>
          <w:rFonts w:ascii="Times New Roman" w:eastAsia="Calibri" w:hAnsi="Times New Roman"/>
          <w:color w:val="000000"/>
          <w:szCs w:val="22"/>
          <w:lang w:eastAsia="en-US"/>
        </w:rPr>
        <w:tab/>
        <w:t>SELLO DE JUNTA</w:t>
      </w:r>
    </w:p>
    <w:p w14:paraId="53F2D0D0" w14:textId="79D1FB19"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Las juntas de construcción del pavimento, permiten controlar la localización y distribución de las grietas y distribución de las cargas. Las juntas deberán rellenarse con material bituminoso, para absorber las contracciones. El espaciamiento entre las juntas, medido en pies, no debe exceder el doble del espesor de la losa en pulgadas, y nunca debe ser mayor de 15 pies (4.50 metros). Se deben distribuir las juntas para que formen paneles cuadrados. Cuando no es</w:t>
      </w:r>
      <w:r w:rsidR="00D37638">
        <w:rPr>
          <w:rFonts w:ascii="Times New Roman" w:eastAsia="Calibri" w:hAnsi="Times New Roman"/>
          <w:color w:val="000000"/>
          <w:szCs w:val="22"/>
          <w:lang w:eastAsia="en-US"/>
        </w:rPr>
        <w:t xml:space="preserve"> </w:t>
      </w:r>
      <w:r w:rsidRPr="00A27653">
        <w:rPr>
          <w:rFonts w:ascii="Times New Roman" w:eastAsia="Calibri" w:hAnsi="Times New Roman"/>
          <w:color w:val="000000"/>
          <w:szCs w:val="22"/>
          <w:lang w:eastAsia="en-US"/>
        </w:rPr>
        <w:t>práctico se pueden usar paneles rectangulares siempre que el largo no exceda</w:t>
      </w:r>
      <w:r w:rsidR="00D37638">
        <w:rPr>
          <w:rFonts w:ascii="Times New Roman" w:eastAsia="Calibri" w:hAnsi="Times New Roman"/>
          <w:color w:val="000000"/>
          <w:szCs w:val="22"/>
          <w:lang w:eastAsia="en-US"/>
        </w:rPr>
        <w:t xml:space="preserve"> </w:t>
      </w:r>
      <w:r w:rsidRPr="00A27653">
        <w:rPr>
          <w:rFonts w:ascii="Times New Roman" w:eastAsia="Calibri" w:hAnsi="Times New Roman"/>
          <w:color w:val="000000"/>
          <w:szCs w:val="22"/>
          <w:lang w:eastAsia="en-US"/>
        </w:rPr>
        <w:t>1.5 veces el ancho.</w:t>
      </w:r>
    </w:p>
    <w:p w14:paraId="254193C1"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Las juntas de control deben tener una profundidad mínima de 25% del espesor de la losa. Las juntas de aislamiento (de expansión) deben ser a profundidad completa, y se usan sólo para aislar objetos fijos dentro del área pavimentada o vecinos a esta. Las juntas deben continuarse y extenderse a través de los bordillos integrados, interrumpiéndose únicamente en las juntas de aislamiento. Ajustar la distribución de las juntas a la localización de cajas de registro, tragantes y pequeños cimientos para que coincidan con las esquinas de las estructuras. Desplazar las juntas de control para evitar ángulos agudos o franjas angostas de la losa en las curvas.</w:t>
      </w:r>
    </w:p>
    <w:p w14:paraId="5FCE24EF"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7C83BA26" w14:textId="0AFFDD13" w:rsidR="00A27653" w:rsidRPr="00D37638" w:rsidRDefault="00A27653" w:rsidP="00D37638">
      <w:pPr>
        <w:pStyle w:val="Prrafodelista"/>
        <w:numPr>
          <w:ilvl w:val="1"/>
          <w:numId w:val="3"/>
        </w:numPr>
        <w:autoSpaceDE w:val="0"/>
        <w:autoSpaceDN w:val="0"/>
        <w:adjustRightInd w:val="0"/>
        <w:jc w:val="both"/>
        <w:rPr>
          <w:rFonts w:ascii="Times New Roman" w:hAnsi="Times New Roman"/>
          <w:lang w:eastAsia="en-US"/>
        </w:rPr>
      </w:pPr>
      <w:r w:rsidRPr="00D37638">
        <w:rPr>
          <w:rFonts w:ascii="Times New Roman" w:hAnsi="Times New Roman"/>
          <w:lang w:eastAsia="en-US"/>
        </w:rPr>
        <w:t>BORDILLOS</w:t>
      </w:r>
    </w:p>
    <w:p w14:paraId="51537D6F" w14:textId="77777777" w:rsidR="00D37638" w:rsidRPr="00D37638" w:rsidRDefault="00D37638" w:rsidP="00D37638">
      <w:pPr>
        <w:pStyle w:val="Prrafodelista"/>
        <w:autoSpaceDE w:val="0"/>
        <w:autoSpaceDN w:val="0"/>
        <w:adjustRightInd w:val="0"/>
        <w:ind w:left="1080"/>
        <w:jc w:val="both"/>
        <w:rPr>
          <w:rFonts w:ascii="Times New Roman" w:hAnsi="Times New Roman"/>
          <w:lang w:eastAsia="en-US"/>
        </w:rPr>
      </w:pPr>
    </w:p>
    <w:p w14:paraId="648936AC"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3.3.1.</w:t>
      </w:r>
      <w:r w:rsidRPr="00A27653">
        <w:rPr>
          <w:rFonts w:ascii="Times New Roman" w:eastAsia="Calibri" w:hAnsi="Times New Roman"/>
          <w:color w:val="000000"/>
          <w:szCs w:val="22"/>
          <w:lang w:eastAsia="en-US"/>
        </w:rPr>
        <w:tab/>
        <w:t>DEFINICION</w:t>
      </w:r>
    </w:p>
    <w:p w14:paraId="7F03406B"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Son las estructuras de concreto simples, que se construyen en el centro, en uno o en ambos lados de una calle para el encauzamiento de las aguas, sobre todo en las secciones en relleno, así como para el ordenamiento del tráfico y seguridad del usuario.</w:t>
      </w:r>
    </w:p>
    <w:p w14:paraId="3ACB4434"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23045822"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3.3.2.</w:t>
      </w:r>
      <w:r w:rsidRPr="00A27653">
        <w:rPr>
          <w:rFonts w:ascii="Times New Roman" w:eastAsia="Calibri" w:hAnsi="Times New Roman"/>
          <w:color w:val="000000"/>
          <w:szCs w:val="22"/>
          <w:lang w:eastAsia="en-US"/>
        </w:rPr>
        <w:tab/>
        <w:t>DESCRIPCION.</w:t>
      </w:r>
    </w:p>
    <w:p w14:paraId="78B5D0A3"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Este trabajo consiste en el transporte, suministro, elaboración, manejo, almacenamiento y colocación de los materiales de construcción. También se incluye en este trabajo, la formaleta, excavación si la hay y todas las operaciones necesarias para la correcta construcción de los bordillos, de acuerdo con los planos.</w:t>
      </w:r>
    </w:p>
    <w:p w14:paraId="7211F792"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36538DB5"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3.3.3.</w:t>
      </w:r>
      <w:r w:rsidRPr="00A27653">
        <w:rPr>
          <w:rFonts w:ascii="Times New Roman" w:eastAsia="Calibri" w:hAnsi="Times New Roman"/>
          <w:color w:val="000000"/>
          <w:szCs w:val="22"/>
          <w:lang w:eastAsia="en-US"/>
        </w:rPr>
        <w:tab/>
        <w:t>MATERIALES REQUISITOS DE LOS MATERIALES.</w:t>
      </w:r>
    </w:p>
    <w:p w14:paraId="3E70215C"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El bordillo debe ser de concreto clase 17.5 MPa (2,500 psi) y debe cumplir, en lo aplicable, con certificado de calidad.</w:t>
      </w:r>
    </w:p>
    <w:p w14:paraId="6EBCA0A2"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556B5B5D"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3.3.4.</w:t>
      </w:r>
      <w:r w:rsidRPr="00A27653">
        <w:rPr>
          <w:rFonts w:ascii="Times New Roman" w:eastAsia="Calibri" w:hAnsi="Times New Roman"/>
          <w:color w:val="000000"/>
          <w:szCs w:val="22"/>
          <w:lang w:eastAsia="en-US"/>
        </w:rPr>
        <w:tab/>
        <w:t>MEDIDA.</w:t>
      </w:r>
    </w:p>
    <w:p w14:paraId="129CEA03" w14:textId="0C46927D"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 xml:space="preserve">La medida se debe hacer, del número de metros lineales de bordillos, con aproximación de dos decimales, medidos a </w:t>
      </w:r>
      <w:r w:rsidR="004F15F8" w:rsidRPr="00A27653">
        <w:rPr>
          <w:rFonts w:ascii="Times New Roman" w:eastAsia="Calibri" w:hAnsi="Times New Roman"/>
          <w:color w:val="000000"/>
          <w:szCs w:val="22"/>
          <w:lang w:eastAsia="en-US"/>
        </w:rPr>
        <w:t>Lo</w:t>
      </w:r>
      <w:r w:rsidRPr="00A27653">
        <w:rPr>
          <w:rFonts w:ascii="Times New Roman" w:eastAsia="Calibri" w:hAnsi="Times New Roman"/>
          <w:color w:val="000000"/>
          <w:szCs w:val="22"/>
          <w:lang w:eastAsia="en-US"/>
        </w:rPr>
        <w:t xml:space="preserve"> largo de la línea central de los mismos, construidos satisfactoriamente, de acuerdo con estas Especificaciones Generales.</w:t>
      </w:r>
    </w:p>
    <w:p w14:paraId="28CA25CC"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458325C4"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3.4.</w:t>
      </w:r>
      <w:r w:rsidRPr="00A27653">
        <w:rPr>
          <w:rFonts w:ascii="Times New Roman" w:eastAsia="Calibri" w:hAnsi="Times New Roman"/>
          <w:color w:val="000000"/>
          <w:szCs w:val="22"/>
          <w:lang w:eastAsia="en-US"/>
        </w:rPr>
        <w:tab/>
        <w:t>LOSA DE BANQUETA</w:t>
      </w:r>
    </w:p>
    <w:p w14:paraId="534CB6EE"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Las banquetas serán de concreto, se fundirán únicamente en planchas alternas, con un espesor de 8.00 centímetros.</w:t>
      </w:r>
    </w:p>
    <w:p w14:paraId="4112A36D"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El lado exterior de la banqueta estará delimitado por un bordillo de concreto armado fundido in situ.</w:t>
      </w:r>
    </w:p>
    <w:p w14:paraId="031453B5"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El acabado final será cernido fino y los perímetros de cada plancha individual serán tallados, la banqueta tendrá una pendiente del 2% desde la pared a la calle.</w:t>
      </w:r>
    </w:p>
    <w:p w14:paraId="3DDC08B1"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 xml:space="preserve"> </w:t>
      </w:r>
    </w:p>
    <w:p w14:paraId="4B648019"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3.5.</w:t>
      </w:r>
      <w:r w:rsidRPr="00A27653">
        <w:rPr>
          <w:rFonts w:ascii="Times New Roman" w:eastAsia="Calibri" w:hAnsi="Times New Roman"/>
          <w:color w:val="000000"/>
          <w:szCs w:val="22"/>
          <w:lang w:eastAsia="en-US"/>
        </w:rPr>
        <w:tab/>
        <w:t>TOPES DE PARQUEO</w:t>
      </w:r>
    </w:p>
    <w:p w14:paraId="6993262E"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Los topes de parqueo serán concreto y con dimensiones de 0.18*0.10*0.13 metros. Se ubicarán en cada espacio de parqueo indicado en planos.</w:t>
      </w:r>
    </w:p>
    <w:p w14:paraId="4D2CB084"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467C90D1"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33CC8C1A"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3.6.</w:t>
      </w:r>
      <w:r w:rsidRPr="00A27653">
        <w:rPr>
          <w:rFonts w:ascii="Times New Roman" w:eastAsia="Calibri" w:hAnsi="Times New Roman"/>
          <w:color w:val="000000"/>
          <w:szCs w:val="22"/>
          <w:lang w:eastAsia="en-US"/>
        </w:rPr>
        <w:tab/>
        <w:t>SEÑALIZACIÓN</w:t>
      </w:r>
    </w:p>
    <w:p w14:paraId="492783AF"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3.6.1.</w:t>
      </w:r>
      <w:r w:rsidRPr="00A27653">
        <w:rPr>
          <w:rFonts w:ascii="Times New Roman" w:eastAsia="Calibri" w:hAnsi="Times New Roman"/>
          <w:color w:val="000000"/>
          <w:szCs w:val="22"/>
          <w:lang w:eastAsia="en-US"/>
        </w:rPr>
        <w:tab/>
        <w:t>SEÑALIZACIÓN HORIZONTAL</w:t>
      </w:r>
    </w:p>
    <w:p w14:paraId="0BF399EF"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Pintura termoplástica para señalización horizontal.</w:t>
      </w:r>
    </w:p>
    <w:p w14:paraId="1B6512A2"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lastRenderedPageBreak/>
        <w:t>Bajo este renglón El Contratista suministrará los materiales, personal técnico, para llevar a cabo todas las operaciones necesarias para concretar la Señalización Horizontal sobre el nuevo pavimento.</w:t>
      </w:r>
    </w:p>
    <w:p w14:paraId="0F889C28"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La demarcación horizontal consistirá en la ejecución de líneas, símbolos y letras.</w:t>
      </w:r>
    </w:p>
    <w:p w14:paraId="06DB7311"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Las líneas serán de 10.0 cm de ancho y de 2.5 mm de espesor, del color indicado en los planos, serán continuas o discontinuas según lo indicado para cada caso por el "Manual Centroamericano de Dispositivos Uniformes para el Control del Tránsito” de la SIECA.</w:t>
      </w:r>
    </w:p>
    <w:p w14:paraId="2BDA000F"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Las líneas laterales serán continuas, pero no se pintarán en las intersecciones con otras calles.</w:t>
      </w:r>
    </w:p>
    <w:p w14:paraId="654111B8"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Las líneas separadoras de carriles serán discontinuas. Las mismas se concretarán mediante segmentos de 3.00 metros y separaciones de 5.00 metros.</w:t>
      </w:r>
    </w:p>
    <w:p w14:paraId="0C51AA9F"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La Supervisión deberá aprobar la forma de marcar cada tramo, sobre la base de una propuesta presentada por El Contratista.</w:t>
      </w:r>
    </w:p>
    <w:p w14:paraId="340B4305"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2F16E591"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1C71C1D9"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3.6.2.</w:t>
      </w:r>
      <w:r w:rsidRPr="00A27653">
        <w:rPr>
          <w:rFonts w:ascii="Times New Roman" w:eastAsia="Calibri" w:hAnsi="Times New Roman"/>
          <w:color w:val="000000"/>
          <w:szCs w:val="22"/>
          <w:lang w:eastAsia="en-US"/>
        </w:rPr>
        <w:tab/>
        <w:t>REQUERIMIENTOS</w:t>
      </w:r>
    </w:p>
    <w:p w14:paraId="532650F6" w14:textId="6B36214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 xml:space="preserve">La señalización horizontal del pavimento deberá cumplir con los requerimientos mínimos de </w:t>
      </w:r>
      <w:r w:rsidR="004F15F8" w:rsidRPr="00A27653">
        <w:rPr>
          <w:rFonts w:ascii="Times New Roman" w:eastAsia="Calibri" w:hAnsi="Times New Roman"/>
          <w:color w:val="000000"/>
          <w:szCs w:val="22"/>
          <w:lang w:eastAsia="en-US"/>
        </w:rPr>
        <w:t>retro reflectividad</w:t>
      </w:r>
      <w:r w:rsidRPr="00A27653">
        <w:rPr>
          <w:rFonts w:ascii="Times New Roman" w:eastAsia="Calibri" w:hAnsi="Times New Roman"/>
          <w:color w:val="000000"/>
          <w:szCs w:val="22"/>
          <w:lang w:eastAsia="en-US"/>
        </w:rPr>
        <w:t xml:space="preserve"> (coeficiente de luminancia </w:t>
      </w:r>
      <w:r w:rsidR="004F15F8" w:rsidRPr="00A27653">
        <w:rPr>
          <w:rFonts w:ascii="Times New Roman" w:eastAsia="Calibri" w:hAnsi="Times New Roman"/>
          <w:color w:val="000000"/>
          <w:szCs w:val="22"/>
          <w:lang w:eastAsia="en-US"/>
        </w:rPr>
        <w:t>retro reflectada</w:t>
      </w:r>
      <w:r w:rsidRPr="00A27653">
        <w:rPr>
          <w:rFonts w:ascii="Times New Roman" w:eastAsia="Calibri" w:hAnsi="Times New Roman"/>
          <w:color w:val="000000"/>
          <w:szCs w:val="22"/>
          <w:lang w:eastAsia="en-US"/>
        </w:rPr>
        <w:t xml:space="preserve"> RL) siguientes: 200 mcd.lux-1 .m-2 para demarcaciones color blanco y 150 </w:t>
      </w:r>
      <w:proofErr w:type="spellStart"/>
      <w:r w:rsidRPr="00A27653">
        <w:rPr>
          <w:rFonts w:ascii="Times New Roman" w:eastAsia="Calibri" w:hAnsi="Times New Roman"/>
          <w:color w:val="000000"/>
          <w:szCs w:val="22"/>
          <w:lang w:eastAsia="en-US"/>
        </w:rPr>
        <w:t>mcd.lux</w:t>
      </w:r>
      <w:proofErr w:type="spellEnd"/>
      <w:r w:rsidRPr="00A27653">
        <w:rPr>
          <w:rFonts w:ascii="Times New Roman" w:eastAsia="Calibri" w:hAnsi="Times New Roman"/>
          <w:color w:val="000000"/>
          <w:szCs w:val="22"/>
          <w:lang w:eastAsia="en-US"/>
        </w:rPr>
        <w:t>- 1 .m-2 en demarcaciones color amarillo.</w:t>
      </w:r>
    </w:p>
    <w:p w14:paraId="7FFCD0DE" w14:textId="59220D0A"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 xml:space="preserve">La </w:t>
      </w:r>
      <w:r w:rsidR="004F15F8" w:rsidRPr="00A27653">
        <w:rPr>
          <w:rFonts w:ascii="Times New Roman" w:eastAsia="Calibri" w:hAnsi="Times New Roman"/>
          <w:color w:val="000000"/>
          <w:szCs w:val="22"/>
          <w:lang w:eastAsia="en-US"/>
        </w:rPr>
        <w:t>retro reflectividad</w:t>
      </w:r>
      <w:r w:rsidRPr="00A27653">
        <w:rPr>
          <w:rFonts w:ascii="Times New Roman" w:eastAsia="Calibri" w:hAnsi="Times New Roman"/>
          <w:color w:val="000000"/>
          <w:szCs w:val="22"/>
          <w:lang w:eastAsia="en-US"/>
        </w:rPr>
        <w:t xml:space="preserve"> de las demarcaciones del pavimento deberá ser determinada con base a lo especificado en la norma ASTM D 6359.</w:t>
      </w:r>
    </w:p>
    <w:p w14:paraId="20E5DD3F"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2D657276"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27E4D1AA"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3.7.</w:t>
      </w:r>
      <w:r w:rsidRPr="00A27653">
        <w:rPr>
          <w:rFonts w:ascii="Times New Roman" w:eastAsia="Calibri" w:hAnsi="Times New Roman"/>
          <w:color w:val="000000"/>
          <w:szCs w:val="22"/>
          <w:lang w:eastAsia="en-US"/>
        </w:rPr>
        <w:tab/>
        <w:t>JARDINIZACIÓN</w:t>
      </w:r>
    </w:p>
    <w:p w14:paraId="104C3476"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Comprende la remoción de los árboles que bloquean las áreas a remozar, así como rellenar las áreas de jardín con tierra apta para plantar grama San Agustín.</w:t>
      </w:r>
    </w:p>
    <w:p w14:paraId="56855434"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53FC37B7"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0DF245BE"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4.</w:t>
      </w:r>
      <w:r w:rsidRPr="00A27653">
        <w:rPr>
          <w:rFonts w:ascii="Times New Roman" w:eastAsia="Calibri" w:hAnsi="Times New Roman"/>
          <w:color w:val="000000"/>
          <w:szCs w:val="22"/>
          <w:lang w:eastAsia="en-US"/>
        </w:rPr>
        <w:tab/>
        <w:t>ESTRUCTURA DE CONCRETO REFORZADO</w:t>
      </w:r>
    </w:p>
    <w:p w14:paraId="226A50D5"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4.1.</w:t>
      </w:r>
      <w:r w:rsidRPr="00A27653">
        <w:rPr>
          <w:rFonts w:ascii="Times New Roman" w:eastAsia="Calibri" w:hAnsi="Times New Roman"/>
          <w:color w:val="000000"/>
          <w:szCs w:val="22"/>
          <w:lang w:eastAsia="en-US"/>
        </w:rPr>
        <w:tab/>
        <w:t>DEFINICIONES</w:t>
      </w:r>
    </w:p>
    <w:p w14:paraId="63ABC7CE"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4.1.1.</w:t>
      </w:r>
      <w:r w:rsidRPr="00A27653">
        <w:rPr>
          <w:rFonts w:ascii="Times New Roman" w:eastAsia="Calibri" w:hAnsi="Times New Roman"/>
          <w:color w:val="000000"/>
          <w:szCs w:val="22"/>
          <w:lang w:eastAsia="en-US"/>
        </w:rPr>
        <w:tab/>
        <w:t>AGREGADO</w:t>
      </w:r>
    </w:p>
    <w:p w14:paraId="02F0525F" w14:textId="7E7FF464"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Material inerte que se mezcla con cemento y agua para producir concreto, mezcla,</w:t>
      </w:r>
      <w:r w:rsidR="00D37638">
        <w:rPr>
          <w:rFonts w:ascii="Times New Roman" w:eastAsia="Calibri" w:hAnsi="Times New Roman"/>
          <w:color w:val="000000"/>
          <w:szCs w:val="22"/>
          <w:lang w:eastAsia="en-US"/>
        </w:rPr>
        <w:t xml:space="preserve"> </w:t>
      </w:r>
      <w:r w:rsidRPr="00A27653">
        <w:rPr>
          <w:rFonts w:ascii="Times New Roman" w:eastAsia="Calibri" w:hAnsi="Times New Roman"/>
          <w:color w:val="000000"/>
          <w:szCs w:val="22"/>
          <w:lang w:eastAsia="en-US"/>
        </w:rPr>
        <w:t>sabieta o mortero. Los materiales deben cumplir con las normas NTG 41007, y cumplir las especificaciones según el elemento utilizado.</w:t>
      </w:r>
    </w:p>
    <w:p w14:paraId="5894B198"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5B6DFF11"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4.1.2.</w:t>
      </w:r>
      <w:r w:rsidRPr="00A27653">
        <w:rPr>
          <w:rFonts w:ascii="Times New Roman" w:eastAsia="Calibri" w:hAnsi="Times New Roman"/>
          <w:color w:val="000000"/>
          <w:szCs w:val="22"/>
          <w:lang w:eastAsia="en-US"/>
        </w:rPr>
        <w:tab/>
        <w:t>CONCRETO</w:t>
      </w:r>
    </w:p>
    <w:p w14:paraId="25DF20C5"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El concreto es una mezcla heterogénea de arena, grava, cemento y agua. En muchas ocasiones con aditivos que modifican sus características para lograr un mejor desempeño. Debe cumplir la norma NTG 41006.</w:t>
      </w:r>
    </w:p>
    <w:p w14:paraId="7BF8E720"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16C7B45C"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El concreto hidráulico debe de cumplir con la norma NTG 41068 (ASTM C 94) si es concreto premezclado.</w:t>
      </w:r>
    </w:p>
    <w:p w14:paraId="065ED91C"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7FBBB6AC"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4.1.3.</w:t>
      </w:r>
      <w:r w:rsidRPr="00A27653">
        <w:rPr>
          <w:rFonts w:ascii="Times New Roman" w:eastAsia="Calibri" w:hAnsi="Times New Roman"/>
          <w:color w:val="000000"/>
          <w:szCs w:val="22"/>
          <w:lang w:eastAsia="en-US"/>
        </w:rPr>
        <w:tab/>
        <w:t>CONCRETO REFROZADO</w:t>
      </w:r>
    </w:p>
    <w:p w14:paraId="5F5BEAD4"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Concreto que tiene el acero de refuerzo adecuado, en el que ambos materiales actúan juntos para resistir los refuerzos a los que sea sometido.</w:t>
      </w:r>
    </w:p>
    <w:p w14:paraId="644CBB14"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6EB1D5F7"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4.1.4.</w:t>
      </w:r>
      <w:r w:rsidRPr="00A27653">
        <w:rPr>
          <w:rFonts w:ascii="Times New Roman" w:eastAsia="Calibri" w:hAnsi="Times New Roman"/>
          <w:color w:val="000000"/>
          <w:szCs w:val="22"/>
          <w:lang w:eastAsia="en-US"/>
        </w:rPr>
        <w:tab/>
        <w:t>ADITIVO</w:t>
      </w:r>
    </w:p>
    <w:p w14:paraId="376A4D8E"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Son todos aquellos materiales distintos del agua, de los agregados o del cemento hidráulico, utilizados como ingredientes complementarios del concreto y que se añaden a éste antes, o durante el mezclado con el fin de modificar sus propiedades. Deben de cumplir con las normas NTG 41047.</w:t>
      </w:r>
    </w:p>
    <w:p w14:paraId="042E1EED"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78651182"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4.2.</w:t>
      </w:r>
      <w:r w:rsidRPr="00A27653">
        <w:rPr>
          <w:rFonts w:ascii="Times New Roman" w:eastAsia="Calibri" w:hAnsi="Times New Roman"/>
          <w:color w:val="000000"/>
          <w:szCs w:val="22"/>
          <w:lang w:eastAsia="en-US"/>
        </w:rPr>
        <w:tab/>
        <w:t>CONCRETO REFORZADO</w:t>
      </w:r>
    </w:p>
    <w:p w14:paraId="585D96E5"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 xml:space="preserve">La proporción del concreto reforzado será definido según el cálculo de los materiales a utilizar según la empresa constructora y aprobado por el supervisor de la obra para llegar a una resistencia mínima de 3,000 </w:t>
      </w:r>
      <w:r w:rsidRPr="00A27653">
        <w:rPr>
          <w:rFonts w:ascii="Times New Roman" w:eastAsia="Calibri" w:hAnsi="Times New Roman"/>
          <w:color w:val="000000"/>
          <w:szCs w:val="22"/>
          <w:lang w:eastAsia="en-US"/>
        </w:rPr>
        <w:lastRenderedPageBreak/>
        <w:t>psi (210 kg/cm2), a los 28 días para elementos estructurales y una resistencia mínima de 2,000 psi (175 kg/cm2) para elementos de concreto no estructural.</w:t>
      </w:r>
    </w:p>
    <w:p w14:paraId="1972B3F9"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606F16B2"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4.2.1.</w:t>
      </w:r>
      <w:r w:rsidRPr="00A27653">
        <w:rPr>
          <w:rFonts w:ascii="Times New Roman" w:eastAsia="Calibri" w:hAnsi="Times New Roman"/>
          <w:color w:val="000000"/>
          <w:szCs w:val="22"/>
          <w:lang w:eastAsia="en-US"/>
        </w:rPr>
        <w:tab/>
        <w:t>CEMENTO</w:t>
      </w:r>
    </w:p>
    <w:p w14:paraId="20C69032"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Deberá cumplir con las especificaciones para cemento Portland tipo I (PM) Norma Técnica Guatemalteca NTG 41095 (ASTM 1157) y ASTM C595, referentes a cemento.</w:t>
      </w:r>
    </w:p>
    <w:p w14:paraId="7C96865B"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35AD5A1A"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No puede usarse, el cemento que se haya dañado por exposición a la humead, que haya fraguado parcialmente o que tenga terrones o este endurecido y debe ser rechazado el uso del contenido total del saco de cemento o del recipiente o bulto del mismo y ser retirado inmediata y definitivamente de la obra. No puede usarse cemento recogido de los sacos rechazados o usados, proveniente de la limpieza de los mismos.</w:t>
      </w:r>
    </w:p>
    <w:p w14:paraId="566679D3"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345C8073"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4.2.2.</w:t>
      </w:r>
      <w:r w:rsidRPr="00A27653">
        <w:rPr>
          <w:rFonts w:ascii="Times New Roman" w:eastAsia="Calibri" w:hAnsi="Times New Roman"/>
          <w:color w:val="000000"/>
          <w:szCs w:val="22"/>
          <w:lang w:eastAsia="en-US"/>
        </w:rPr>
        <w:tab/>
        <w:t>AGREGADO FINO</w:t>
      </w:r>
    </w:p>
    <w:p w14:paraId="5BB88BB9"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51D53124"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Los agregados constituyen del 60 al 75% del volumen de una mezcla típica de concreto, por lo que sus características influyen mucho en la calidad del concreto. El término agrados comprende tanto las arenas, gravas naturales como las arenas y piedrines obtenidos por trituración. Deben de cumplir con las normas NTG 41007 (ASTM C33) para agregados de densidad normal, con la norma ASTM C330 para agregados livianos y con la norma ASTM C144, especificaciones para agregados de morteros de mampostería.</w:t>
      </w:r>
    </w:p>
    <w:p w14:paraId="7ACB125C"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 xml:space="preserve"> </w:t>
      </w:r>
    </w:p>
    <w:p w14:paraId="5B8C3CEB"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2E09F9FC"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4.2.2.1.</w:t>
      </w:r>
      <w:r w:rsidRPr="00A27653">
        <w:rPr>
          <w:rFonts w:ascii="Times New Roman" w:eastAsia="Calibri" w:hAnsi="Times New Roman"/>
          <w:color w:val="000000"/>
          <w:szCs w:val="22"/>
          <w:lang w:eastAsia="en-US"/>
        </w:rPr>
        <w:tab/>
        <w:t>AGREGADO FINO</w:t>
      </w:r>
    </w:p>
    <w:p w14:paraId="4FC800A1"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Este material estará conformado por arena de río, o por arena de trituración, que sea consistente, libre de cantidades dañinas de arcilla, cieno, desechos orgánicos y sales minerales que afecten la calidad del concreto.</w:t>
      </w:r>
    </w:p>
    <w:p w14:paraId="46CCF049"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3F2B0B84"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El módulo de finura no debe de ser menor de 2.3, ni mayor de 3.1; el módulo de finura de un agregado se determina de la suma de los porcentajes por peso aculados retenidos en los siguientes tamices dividida entre 100: tamices: 3” (75 mm), 1 ½” (37.5 mm), ¾” (19 mm), ¾” (19 mm), 3/8” (9.5 mm), No. 4 (4.75 mm),</w:t>
      </w:r>
    </w:p>
    <w:p w14:paraId="6509C411" w14:textId="7D75B8C5"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No. 8 (2.36 mm), No. 6 /1.18 mm), No. 30 (0.600 mm), No. 50 (0.300 mm), No.</w:t>
      </w:r>
      <w:r w:rsidR="00D37638">
        <w:rPr>
          <w:rFonts w:ascii="Times New Roman" w:eastAsia="Calibri" w:hAnsi="Times New Roman"/>
          <w:color w:val="000000"/>
          <w:szCs w:val="22"/>
          <w:lang w:eastAsia="en-US"/>
        </w:rPr>
        <w:t xml:space="preserve"> </w:t>
      </w:r>
      <w:r w:rsidRPr="00A27653">
        <w:rPr>
          <w:rFonts w:ascii="Times New Roman" w:eastAsia="Calibri" w:hAnsi="Times New Roman"/>
          <w:color w:val="000000"/>
          <w:szCs w:val="22"/>
          <w:lang w:eastAsia="en-US"/>
        </w:rPr>
        <w:t>100 (0.150 mm). La arena no debe ser uniforme, debe de tener cierta graduación.</w:t>
      </w:r>
    </w:p>
    <w:p w14:paraId="42B3BDFB"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048C1F0D"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4.2.2.2.</w:t>
      </w:r>
      <w:r w:rsidRPr="00A27653">
        <w:rPr>
          <w:rFonts w:ascii="Times New Roman" w:eastAsia="Calibri" w:hAnsi="Times New Roman"/>
          <w:color w:val="000000"/>
          <w:szCs w:val="22"/>
          <w:lang w:eastAsia="en-US"/>
        </w:rPr>
        <w:tab/>
        <w:t>AGREGADO GRUESO</w:t>
      </w:r>
    </w:p>
    <w:p w14:paraId="0E8FF989"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4464BF02"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Este material estará formado por grava o piedrín y deberá ser libre de cantidades dañinas de materiales suaves o desmenuzables, terrones de arcilla, polvo y otras materias nocivas. El tamaño nominal máximo para agregado grueso no será superior a:</w:t>
      </w:r>
    </w:p>
    <w:p w14:paraId="68007914"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7531EDCC"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1/5 de la separación entre los lados de la formaleta.</w:t>
      </w:r>
    </w:p>
    <w:p w14:paraId="177C9CC7"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1/3 de peralte de la losa.</w:t>
      </w:r>
    </w:p>
    <w:p w14:paraId="229746E7" w14:textId="77777777" w:rsidR="00A27653" w:rsidRPr="00A27653" w:rsidRDefault="00A27653" w:rsidP="00D37638">
      <w:pPr>
        <w:autoSpaceDE w:val="0"/>
        <w:autoSpaceDN w:val="0"/>
        <w:adjustRightInd w:val="0"/>
        <w:ind w:left="720" w:hanging="72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¾ partes del espaciamiento mínimo libre entre varillas, alambres individuales de refuerzo, paquetes de varillas, cables, ductos de pre esfuerzo y formaleta.</w:t>
      </w:r>
    </w:p>
    <w:p w14:paraId="2087BFC5"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12D4B6B8"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4.2.3.</w:t>
      </w:r>
      <w:r w:rsidRPr="00A27653">
        <w:rPr>
          <w:rFonts w:ascii="Times New Roman" w:eastAsia="Calibri" w:hAnsi="Times New Roman"/>
          <w:color w:val="000000"/>
          <w:szCs w:val="22"/>
          <w:lang w:eastAsia="en-US"/>
        </w:rPr>
        <w:tab/>
        <w:t>AGUA</w:t>
      </w:r>
    </w:p>
    <w:p w14:paraId="057275A2"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El agua empleada en el mezclado del concreto deberá ser limpia y estar libre de cantidades perjudiciales de aceites, ácidos, álcalis, sales, materia orgánica u otras sustancias que puedan ser nocivas al concreto o al acero de refuerzo.</w:t>
      </w:r>
    </w:p>
    <w:p w14:paraId="13177197"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El contenido de agua a utilizar deberá ser la cantidad mínima necesaria para producir una mezcla plástica que tenga una resistencia especificada y la densidad, uniformidad y trabajabilidad deseada. La humedad de los agregados formará parte del contenido total de agua del concreto.</w:t>
      </w:r>
    </w:p>
    <w:p w14:paraId="056D6801"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513BA00A"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4.2.4.</w:t>
      </w:r>
      <w:r w:rsidRPr="00A27653">
        <w:rPr>
          <w:rFonts w:ascii="Times New Roman" w:eastAsia="Calibri" w:hAnsi="Times New Roman"/>
          <w:color w:val="000000"/>
          <w:szCs w:val="22"/>
          <w:lang w:eastAsia="en-US"/>
        </w:rPr>
        <w:tab/>
        <w:t>ADITIVOS</w:t>
      </w:r>
    </w:p>
    <w:p w14:paraId="777789E1" w14:textId="7C49B8C1"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lastRenderedPageBreak/>
        <w:t xml:space="preserve">Los aditivos reductores de agua, retardantes y </w:t>
      </w:r>
      <w:r w:rsidR="00D37638" w:rsidRPr="00A27653">
        <w:rPr>
          <w:rFonts w:ascii="Times New Roman" w:eastAsia="Calibri" w:hAnsi="Times New Roman"/>
          <w:color w:val="000000"/>
          <w:szCs w:val="22"/>
          <w:lang w:eastAsia="en-US"/>
        </w:rPr>
        <w:t>acelerantes</w:t>
      </w:r>
      <w:r w:rsidRPr="00A27653">
        <w:rPr>
          <w:rFonts w:ascii="Times New Roman" w:eastAsia="Calibri" w:hAnsi="Times New Roman"/>
          <w:color w:val="000000"/>
          <w:szCs w:val="22"/>
          <w:lang w:eastAsia="en-US"/>
        </w:rPr>
        <w:t xml:space="preserve"> deberán cumplir con la Especificación para Aditivos Químicos para Concreto (ASTM C494) y norma NTG 41047.</w:t>
      </w:r>
    </w:p>
    <w:p w14:paraId="3FF16C4F"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2BD4D802"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El aditivo debe presentar un rendimiento uniforme en todas sus aplicaciones en la obra. Debe demostrar que es capaz de mantener la misma composición y comportamiento en el concreto, donde se use el producto en las proporciones establecidas.</w:t>
      </w:r>
    </w:p>
    <w:p w14:paraId="1F6F9F3E"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183CD130"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El supervisor tiene que autorizar el uso de aditivos y deberá indicarse en bitácora.</w:t>
      </w:r>
    </w:p>
    <w:p w14:paraId="7031D2BC"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426E6E42"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4.3.</w:t>
      </w:r>
      <w:r w:rsidRPr="00A27653">
        <w:rPr>
          <w:rFonts w:ascii="Times New Roman" w:eastAsia="Calibri" w:hAnsi="Times New Roman"/>
          <w:color w:val="000000"/>
          <w:szCs w:val="22"/>
          <w:lang w:eastAsia="en-US"/>
        </w:rPr>
        <w:tab/>
        <w:t>CALIDAD Y PROPORCIÓN</w:t>
      </w:r>
    </w:p>
    <w:p w14:paraId="086052D1" w14:textId="4275AC0B"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El concreto debe dosificarse y producirse, para lograr obtener una resistencia</w:t>
      </w:r>
      <w:r w:rsidR="004F15F8">
        <w:rPr>
          <w:rFonts w:ascii="Times New Roman" w:eastAsia="Calibri" w:hAnsi="Times New Roman"/>
          <w:color w:val="000000"/>
          <w:szCs w:val="22"/>
          <w:lang w:eastAsia="en-US"/>
        </w:rPr>
        <w:t xml:space="preserve"> </w:t>
      </w:r>
      <w:r w:rsidRPr="00A27653">
        <w:rPr>
          <w:rFonts w:ascii="Times New Roman" w:eastAsia="Calibri" w:hAnsi="Times New Roman"/>
          <w:color w:val="000000"/>
          <w:szCs w:val="22"/>
          <w:lang w:eastAsia="en-US"/>
        </w:rPr>
        <w:t xml:space="preserve">mínima a la compresión </w:t>
      </w:r>
      <w:proofErr w:type="spellStart"/>
      <w:r w:rsidRPr="00A27653">
        <w:rPr>
          <w:rFonts w:ascii="Times New Roman" w:eastAsia="Calibri" w:hAnsi="Times New Roman"/>
          <w:color w:val="000000"/>
          <w:szCs w:val="22"/>
          <w:lang w:eastAsia="en-US"/>
        </w:rPr>
        <w:t>f’c</w:t>
      </w:r>
      <w:proofErr w:type="spellEnd"/>
      <w:r w:rsidRPr="00A27653">
        <w:rPr>
          <w:rFonts w:ascii="Times New Roman" w:eastAsia="Calibri" w:hAnsi="Times New Roman"/>
          <w:color w:val="000000"/>
          <w:szCs w:val="22"/>
          <w:lang w:eastAsia="en-US"/>
        </w:rPr>
        <w:t xml:space="preserve">, igual a la especificada en los planos o en las Especificaciones. Los planos de diseño particular de cada proyecto indican claramente la resistencia a la compresión, </w:t>
      </w:r>
      <w:proofErr w:type="spellStart"/>
      <w:r w:rsidRPr="00A27653">
        <w:rPr>
          <w:rFonts w:ascii="Times New Roman" w:eastAsia="Calibri" w:hAnsi="Times New Roman"/>
          <w:color w:val="000000"/>
          <w:szCs w:val="22"/>
          <w:lang w:eastAsia="en-US"/>
        </w:rPr>
        <w:t>f’c</w:t>
      </w:r>
      <w:proofErr w:type="spellEnd"/>
      <w:r w:rsidRPr="00A27653">
        <w:rPr>
          <w:rFonts w:ascii="Times New Roman" w:eastAsia="Calibri" w:hAnsi="Times New Roman"/>
          <w:color w:val="000000"/>
          <w:szCs w:val="22"/>
          <w:lang w:eastAsia="en-US"/>
        </w:rPr>
        <w:t>, especificada para cada elemento de la estructura.</w:t>
      </w:r>
    </w:p>
    <w:p w14:paraId="7255C12A"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5EE04CA9"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El control de calidad del concreto que se mantendrá en todo el proceso constructivo, tiene el objeto de garantizar su plasticidad y trabajabilidad apropiada para las condiciones específicas de colocación y un producto que al ser curado adecuadamente tenga la resistencia especificada, durabilidad y uniformidad de color.</w:t>
      </w:r>
    </w:p>
    <w:p w14:paraId="5DE9D884"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6F243A15"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Será responsabilidad del Contratista utilizar los materiales para obtener un concreto adecuado. Los materiales que integran el concreto se medirán por el volumen. El contenido de agua de la mezcla deberá ser el adecuado para producir un concreto trabajable. Si se cambia la fuente de abastecimiento de los agregados a utilizarse para el concreto, tendrá que ajustarse la dosificación, dependiendo de la calidad de los mismos.</w:t>
      </w:r>
    </w:p>
    <w:p w14:paraId="5BD53AAD"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1E38F337"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Será responsabilidad del Contratista diseñar la mezcla que reúna los requisitos fijados en estas Especificaciones.</w:t>
      </w:r>
    </w:p>
    <w:p w14:paraId="09D73BD5"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211F0C5C"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4.4.</w:t>
      </w:r>
      <w:r w:rsidRPr="00A27653">
        <w:rPr>
          <w:rFonts w:ascii="Times New Roman" w:eastAsia="Calibri" w:hAnsi="Times New Roman"/>
          <w:color w:val="000000"/>
          <w:szCs w:val="22"/>
          <w:lang w:eastAsia="en-US"/>
        </w:rPr>
        <w:tab/>
        <w:t>EVALUACIÓN Y ACEPTACIÓN</w:t>
      </w:r>
    </w:p>
    <w:p w14:paraId="3F29DED1" w14:textId="721A614C"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 xml:space="preserve">El nivel de resistencia del concreto será definido como satisfactorio, si se cumple </w:t>
      </w:r>
      <w:r w:rsidR="001F7E63" w:rsidRPr="00A27653">
        <w:rPr>
          <w:rFonts w:ascii="Times New Roman" w:eastAsia="Calibri" w:hAnsi="Times New Roman"/>
          <w:color w:val="000000"/>
          <w:szCs w:val="22"/>
          <w:lang w:eastAsia="en-US"/>
        </w:rPr>
        <w:t>con los</w:t>
      </w:r>
      <w:r w:rsidRPr="00A27653">
        <w:rPr>
          <w:rFonts w:ascii="Times New Roman" w:eastAsia="Calibri" w:hAnsi="Times New Roman"/>
          <w:color w:val="000000"/>
          <w:szCs w:val="22"/>
          <w:lang w:eastAsia="en-US"/>
        </w:rPr>
        <w:t xml:space="preserve"> dos requisitos siguientes:</w:t>
      </w:r>
    </w:p>
    <w:p w14:paraId="4455D703"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 xml:space="preserve">El valor promedio de todas las series de tres pruebas de resistencia consecutivas, deberá ser igual o superior al valor de la resistencia mínima a la compresión </w:t>
      </w:r>
      <w:proofErr w:type="spellStart"/>
      <w:r w:rsidRPr="00A27653">
        <w:rPr>
          <w:rFonts w:ascii="Times New Roman" w:eastAsia="Calibri" w:hAnsi="Times New Roman"/>
          <w:color w:val="000000"/>
          <w:szCs w:val="22"/>
          <w:lang w:eastAsia="en-US"/>
        </w:rPr>
        <w:t>f’c</w:t>
      </w:r>
      <w:proofErr w:type="spellEnd"/>
      <w:r w:rsidRPr="00A27653">
        <w:rPr>
          <w:rFonts w:ascii="Times New Roman" w:eastAsia="Calibri" w:hAnsi="Times New Roman"/>
          <w:color w:val="000000"/>
          <w:szCs w:val="22"/>
          <w:lang w:eastAsia="en-US"/>
        </w:rPr>
        <w:t xml:space="preserve"> requerida.</w:t>
      </w:r>
    </w:p>
    <w:p w14:paraId="2C2654D3"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 xml:space="preserve">Ningún resultado individual de la prueba de resistencia (valor promedio de dos cilindros), deberá presentar un valor mayor de 35 kg/cm2, por debajo de la resistencia mínima a la compresión </w:t>
      </w:r>
      <w:proofErr w:type="spellStart"/>
      <w:r w:rsidRPr="00A27653">
        <w:rPr>
          <w:rFonts w:ascii="Times New Roman" w:eastAsia="Calibri" w:hAnsi="Times New Roman"/>
          <w:color w:val="000000"/>
          <w:szCs w:val="22"/>
          <w:lang w:eastAsia="en-US"/>
        </w:rPr>
        <w:t>f’c</w:t>
      </w:r>
      <w:proofErr w:type="spellEnd"/>
      <w:r w:rsidRPr="00A27653">
        <w:rPr>
          <w:rFonts w:ascii="Times New Roman" w:eastAsia="Calibri" w:hAnsi="Times New Roman"/>
          <w:color w:val="000000"/>
          <w:szCs w:val="22"/>
          <w:lang w:eastAsia="en-US"/>
        </w:rPr>
        <w:t xml:space="preserve"> requerida.</w:t>
      </w:r>
    </w:p>
    <w:p w14:paraId="5590E81C"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3325629F"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4.5.</w:t>
      </w:r>
      <w:r w:rsidRPr="00A27653">
        <w:rPr>
          <w:rFonts w:ascii="Times New Roman" w:eastAsia="Calibri" w:hAnsi="Times New Roman"/>
          <w:color w:val="000000"/>
          <w:szCs w:val="22"/>
          <w:lang w:eastAsia="en-US"/>
        </w:rPr>
        <w:tab/>
        <w:t>CONSIDERACIONES PREVIAS AL MEZCLADO Y COLOCACIÓN</w:t>
      </w:r>
    </w:p>
    <w:p w14:paraId="3C454F8B"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Todo el equipo de mezclado y transporte del concreto deberá estar limpio y en buen estado.</w:t>
      </w:r>
    </w:p>
    <w:p w14:paraId="4A0962E9"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Deberán retirarse todos los escombros y materiales del área donde se colocará el concreto, se retirará también, el agua estancada en la formaleta.</w:t>
      </w:r>
    </w:p>
    <w:p w14:paraId="65244F32"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La formaleta deberá estar colocada, asegurada, apuntalada y humedecida apropiadamente.</w:t>
      </w:r>
    </w:p>
    <w:p w14:paraId="3CFF271A"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Los muros o bloques que van a estar en contacto con el concreto, deberán estar humedecidos.</w:t>
      </w:r>
    </w:p>
    <w:p w14:paraId="238BE68A"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Las barras de acero de refuerzo deberán estar debidamente colocadas y completamente libres de cualquier material perjudicial.</w:t>
      </w:r>
    </w:p>
    <w:p w14:paraId="49180AA8"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La superficie de concreto endurecido debe estar libre de lechadas y cualquier material blando antes de colocar concreto adicional sobre este.</w:t>
      </w:r>
    </w:p>
    <w:p w14:paraId="3A5DB6A8"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Si el concreto va a colocarse directamente sobre la tierra, la superficie en contacto con el concreto deberá estar limpia, compactada, saturada de agua y libre de agua estancada.</w:t>
      </w:r>
    </w:p>
    <w:p w14:paraId="38352CE3"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Los elementos estructurales deben de fundirse homogéneamente.</w:t>
      </w:r>
    </w:p>
    <w:p w14:paraId="6B07E2D8"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 xml:space="preserve"> </w:t>
      </w:r>
    </w:p>
    <w:p w14:paraId="28966544"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2CB7B1A7"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lastRenderedPageBreak/>
        <w:t>4.6.</w:t>
      </w:r>
      <w:r w:rsidRPr="00A27653">
        <w:rPr>
          <w:rFonts w:ascii="Times New Roman" w:eastAsia="Calibri" w:hAnsi="Times New Roman"/>
          <w:color w:val="000000"/>
          <w:szCs w:val="22"/>
          <w:lang w:eastAsia="en-US"/>
        </w:rPr>
        <w:tab/>
        <w:t>MEZCLADO</w:t>
      </w:r>
    </w:p>
    <w:p w14:paraId="1E27263E"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El concreto deberá mezclarse hasta lograr una distribución uniforme de sus materiales componentes.</w:t>
      </w:r>
    </w:p>
    <w:p w14:paraId="5EF2D271" w14:textId="7CDEE030"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 xml:space="preserve">Cuando el concreto hecho en obra se haga en mezcladora mecánica, se deberá atender a instrucciones y recomendaciones del fabricante. La mezcladora deberá descargarse completamente antes de volverse a cargar. El mezclado deberá prolongarse como mínimo 1 ½ minutos después de que </w:t>
      </w:r>
      <w:r w:rsidR="001F7E63" w:rsidRPr="00A27653">
        <w:rPr>
          <w:rFonts w:ascii="Times New Roman" w:eastAsia="Calibri" w:hAnsi="Times New Roman"/>
          <w:color w:val="000000"/>
          <w:szCs w:val="22"/>
          <w:lang w:eastAsia="en-US"/>
        </w:rPr>
        <w:t>todos los</w:t>
      </w:r>
      <w:r w:rsidRPr="00A27653">
        <w:rPr>
          <w:rFonts w:ascii="Times New Roman" w:eastAsia="Calibri" w:hAnsi="Times New Roman"/>
          <w:color w:val="000000"/>
          <w:szCs w:val="22"/>
          <w:lang w:eastAsia="en-US"/>
        </w:rPr>
        <w:t xml:space="preserve"> materiales hayan sido colocados dentro del tambor. Si el concreto es mezclado de otra forma, esta deberá ser aprobada por el Supervisor (no </w:t>
      </w:r>
      <w:r w:rsidR="001F7E63" w:rsidRPr="00A27653">
        <w:rPr>
          <w:rFonts w:ascii="Times New Roman" w:eastAsia="Calibri" w:hAnsi="Times New Roman"/>
          <w:color w:val="000000"/>
          <w:szCs w:val="22"/>
          <w:lang w:eastAsia="en-US"/>
        </w:rPr>
        <w:t>podrá mezclarse</w:t>
      </w:r>
      <w:r w:rsidRPr="00A27653">
        <w:rPr>
          <w:rFonts w:ascii="Times New Roman" w:eastAsia="Calibri" w:hAnsi="Times New Roman"/>
          <w:color w:val="000000"/>
          <w:szCs w:val="22"/>
          <w:lang w:eastAsia="en-US"/>
        </w:rPr>
        <w:t xml:space="preserve"> directamente sobre el terreno natural, debiendo establecer un </w:t>
      </w:r>
      <w:r w:rsidR="001F7E63" w:rsidRPr="00A27653">
        <w:rPr>
          <w:rFonts w:ascii="Times New Roman" w:eastAsia="Calibri" w:hAnsi="Times New Roman"/>
          <w:color w:val="000000"/>
          <w:szCs w:val="22"/>
          <w:lang w:eastAsia="en-US"/>
        </w:rPr>
        <w:t>área donde</w:t>
      </w:r>
      <w:r w:rsidRPr="00A27653">
        <w:rPr>
          <w:rFonts w:ascii="Times New Roman" w:eastAsia="Calibri" w:hAnsi="Times New Roman"/>
          <w:color w:val="000000"/>
          <w:szCs w:val="22"/>
          <w:lang w:eastAsia="en-US"/>
        </w:rPr>
        <w:t xml:space="preserve"> se pueda obtener un concreto libre de impurezas, así como de </w:t>
      </w:r>
      <w:r w:rsidR="001F7E63" w:rsidRPr="00A27653">
        <w:rPr>
          <w:rFonts w:ascii="Times New Roman" w:eastAsia="Calibri" w:hAnsi="Times New Roman"/>
          <w:color w:val="000000"/>
          <w:szCs w:val="22"/>
          <w:lang w:eastAsia="en-US"/>
        </w:rPr>
        <w:t>concreto y</w:t>
      </w:r>
      <w:r w:rsidRPr="00A27653">
        <w:rPr>
          <w:rFonts w:ascii="Times New Roman" w:eastAsia="Calibri" w:hAnsi="Times New Roman"/>
          <w:color w:val="000000"/>
          <w:szCs w:val="22"/>
          <w:lang w:eastAsia="en-US"/>
        </w:rPr>
        <w:t xml:space="preserve"> fraguado).</w:t>
      </w:r>
    </w:p>
    <w:p w14:paraId="2480228D"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Durante el proceso de mezclado, deberá observarse cuidadosamente la relación agua/cemento y no agregar mayor cantidad de agua que la determinada.</w:t>
      </w:r>
    </w:p>
    <w:p w14:paraId="62BA4B78"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1FEE290A"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4.7.</w:t>
      </w:r>
      <w:r w:rsidRPr="00A27653">
        <w:rPr>
          <w:rFonts w:ascii="Times New Roman" w:eastAsia="Calibri" w:hAnsi="Times New Roman"/>
          <w:color w:val="000000"/>
          <w:szCs w:val="22"/>
          <w:lang w:eastAsia="en-US"/>
        </w:rPr>
        <w:tab/>
        <w:t>TRANSPORTE</w:t>
      </w:r>
    </w:p>
    <w:p w14:paraId="0EA9346F" w14:textId="66B184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 xml:space="preserve">El concreto debe transportarse de la mezcladora al elemento final de colocación, empleando métodos que eviten la segregación de los materiales componentes; logrando así, no afectar la colocación y distribución del acero </w:t>
      </w:r>
      <w:r w:rsidR="001F7E63" w:rsidRPr="00A27653">
        <w:rPr>
          <w:rFonts w:ascii="Times New Roman" w:eastAsia="Calibri" w:hAnsi="Times New Roman"/>
          <w:color w:val="000000"/>
          <w:szCs w:val="22"/>
          <w:lang w:eastAsia="en-US"/>
        </w:rPr>
        <w:t>de refuerzo</w:t>
      </w:r>
      <w:r w:rsidRPr="00A27653">
        <w:rPr>
          <w:rFonts w:ascii="Times New Roman" w:eastAsia="Calibri" w:hAnsi="Times New Roman"/>
          <w:color w:val="000000"/>
          <w:szCs w:val="22"/>
          <w:lang w:eastAsia="en-US"/>
        </w:rPr>
        <w:t>.</w:t>
      </w:r>
    </w:p>
    <w:p w14:paraId="0C4D4AF6"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El procedimiento y equipo de transporte deberá ser capaza de llevar el concreto al elemento de colocación, sin interrupciones que ocasionen la pérdida de plasticidad entre mezclas sucesivas.</w:t>
      </w:r>
    </w:p>
    <w:p w14:paraId="0C418188"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481300CB"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4.8.</w:t>
      </w:r>
      <w:r w:rsidRPr="00A27653">
        <w:rPr>
          <w:rFonts w:ascii="Times New Roman" w:eastAsia="Calibri" w:hAnsi="Times New Roman"/>
          <w:color w:val="000000"/>
          <w:szCs w:val="22"/>
          <w:lang w:eastAsia="en-US"/>
        </w:rPr>
        <w:tab/>
        <w:t>COLOCACIÓN</w:t>
      </w:r>
    </w:p>
    <w:p w14:paraId="1C12430A"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El concreto deberá colocarse, lo más cerca posible de su ubicación final para evitar la segregación debida al manejo.</w:t>
      </w:r>
    </w:p>
    <w:p w14:paraId="03A2A191"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La colocación se hará en forma dinámica y diligente para que el concreto conserve su estado plástico en todo momento. No se permitirá una caída vertical mayor de 1.20 metros. No se permitirá colocar en un elemento estructural, concreto que se haya endurecido o contaminado; se permitirá un tiempo máximo de 30 minutos desde la hechura de la mezcla hasta su colocación final, de no ser así será rechazado y no podrá ser utilizado en ningún lugar de la obra.</w:t>
      </w:r>
    </w:p>
    <w:p w14:paraId="111CDD5E"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Al iniciarse el proceso de fundición, este deberá efectuarse en forma continua hasta terminar la fundición de todo el sistema considerado, de acuerdo a los límites establecidos, o conforme a juntas de construcción predeterminadas.</w:t>
      </w:r>
    </w:p>
    <w:p w14:paraId="1B6520A3"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Al realizar juntas de construcción, la superficie del concreto deberá limpiarse completamente removiendo toda la nata y agua estancada. Las juntas verticales deben humedecerse y cubrirse con una lechada de cemento antes de colocar la fundición de concreto nuevo.</w:t>
      </w:r>
    </w:p>
    <w:p w14:paraId="11A1DD9E"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Las juntas de sistemas de entrepiso deben localizarse cerca de la mitad del claro de losas y vigas, no se realizarán juntas de construcción en columnas principales. En general las juntas deberán hacerse y localizarse de tal forma que no afecten significativamente la resistencia de la estructura.</w:t>
      </w:r>
    </w:p>
    <w:p w14:paraId="09BFA60E"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18522EA5"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4.9.</w:t>
      </w:r>
      <w:r w:rsidRPr="00A27653">
        <w:rPr>
          <w:rFonts w:ascii="Times New Roman" w:eastAsia="Calibri" w:hAnsi="Times New Roman"/>
          <w:color w:val="000000"/>
          <w:szCs w:val="22"/>
          <w:lang w:eastAsia="en-US"/>
        </w:rPr>
        <w:tab/>
        <w:t>CONSOLIDACIÓN DEL CONCRETO</w:t>
      </w:r>
    </w:p>
    <w:p w14:paraId="0E6D6528" w14:textId="7C5DE8C6"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Todo concreto deberá vibrarse cuidadosamente esparciéndolo completamente alrededor del acero de refuerzo, de las instalaciones y en las esquinas de la formaleta. Cuando sea necesario el uso de vibradores; debe cuidarse de no</w:t>
      </w:r>
      <w:r w:rsidR="00D37638">
        <w:rPr>
          <w:rFonts w:ascii="Times New Roman" w:eastAsia="Calibri" w:hAnsi="Times New Roman"/>
          <w:color w:val="000000"/>
          <w:szCs w:val="22"/>
          <w:lang w:eastAsia="en-US"/>
        </w:rPr>
        <w:t xml:space="preserve"> </w:t>
      </w:r>
      <w:r w:rsidRPr="00A27653">
        <w:rPr>
          <w:rFonts w:ascii="Times New Roman" w:eastAsia="Calibri" w:hAnsi="Times New Roman"/>
          <w:color w:val="000000"/>
          <w:szCs w:val="22"/>
          <w:lang w:eastAsia="en-US"/>
        </w:rPr>
        <w:t>aplicar directamente el vibrador sobre el acero de refuerzo o la formaleta.</w:t>
      </w:r>
    </w:p>
    <w:p w14:paraId="15CE573F"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No se permitirá una vibración excesiva que cause segregación o nata o que tienda a sacar exceso de agua a la superficie. El vibrador deberá retirarse lentamente para evitar la formación de cavidades.</w:t>
      </w:r>
    </w:p>
    <w:p w14:paraId="27F5C9B4"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1B47D29D"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4.10.</w:t>
      </w:r>
      <w:r w:rsidRPr="00A27653">
        <w:rPr>
          <w:rFonts w:ascii="Times New Roman" w:eastAsia="Calibri" w:hAnsi="Times New Roman"/>
          <w:color w:val="000000"/>
          <w:szCs w:val="22"/>
          <w:lang w:eastAsia="en-US"/>
        </w:rPr>
        <w:tab/>
        <w:t>CURADO</w:t>
      </w:r>
    </w:p>
    <w:p w14:paraId="2D678ACE" w14:textId="602EF8C1"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 xml:space="preserve">Este se puede lograr colocando una capa de agua permanentemente o una cubierta de arena, costales o mantas saturadas con de agua. Otra opción para lograr conservar la condición de humedad del </w:t>
      </w:r>
      <w:r w:rsidR="00D37638" w:rsidRPr="00A27653">
        <w:rPr>
          <w:rFonts w:ascii="Times New Roman" w:eastAsia="Calibri" w:hAnsi="Times New Roman"/>
          <w:color w:val="000000"/>
          <w:szCs w:val="22"/>
          <w:lang w:eastAsia="en-US"/>
        </w:rPr>
        <w:t>concreto</w:t>
      </w:r>
      <w:r w:rsidRPr="00A27653">
        <w:rPr>
          <w:rFonts w:ascii="Times New Roman" w:eastAsia="Calibri" w:hAnsi="Times New Roman"/>
          <w:color w:val="000000"/>
          <w:szCs w:val="22"/>
          <w:lang w:eastAsia="en-US"/>
        </w:rPr>
        <w:t xml:space="preserve"> es el uso de aditivos, inmediatamente después de haber sido realizada la fundición</w:t>
      </w:r>
    </w:p>
    <w:p w14:paraId="7844DC65" w14:textId="61D678D4"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 xml:space="preserve">El supervisor deberá aprobar el método de curado propuesto por el Contratista y </w:t>
      </w:r>
      <w:r w:rsidR="00D37638" w:rsidRPr="00A27653">
        <w:rPr>
          <w:rFonts w:ascii="Times New Roman" w:eastAsia="Calibri" w:hAnsi="Times New Roman"/>
          <w:color w:val="000000"/>
          <w:szCs w:val="22"/>
          <w:lang w:eastAsia="en-US"/>
        </w:rPr>
        <w:t>de acuerdo con</w:t>
      </w:r>
      <w:r w:rsidRPr="00A27653">
        <w:rPr>
          <w:rFonts w:ascii="Times New Roman" w:eastAsia="Calibri" w:hAnsi="Times New Roman"/>
          <w:color w:val="000000"/>
          <w:szCs w:val="22"/>
          <w:lang w:eastAsia="en-US"/>
        </w:rPr>
        <w:t xml:space="preserve"> las necesidades prevalecientes en la construcción.</w:t>
      </w:r>
    </w:p>
    <w:p w14:paraId="04C80D8D"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09BC7B45"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4.11.</w:t>
      </w:r>
      <w:r w:rsidRPr="00A27653">
        <w:rPr>
          <w:rFonts w:ascii="Times New Roman" w:eastAsia="Calibri" w:hAnsi="Times New Roman"/>
          <w:color w:val="000000"/>
          <w:szCs w:val="22"/>
          <w:lang w:eastAsia="en-US"/>
        </w:rPr>
        <w:tab/>
        <w:t>FORMALETA</w:t>
      </w:r>
    </w:p>
    <w:p w14:paraId="1ED1BD84"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4.11.1.</w:t>
      </w:r>
      <w:r w:rsidRPr="00A27653">
        <w:rPr>
          <w:rFonts w:ascii="Times New Roman" w:eastAsia="Calibri" w:hAnsi="Times New Roman"/>
          <w:color w:val="000000"/>
          <w:szCs w:val="22"/>
          <w:lang w:eastAsia="en-US"/>
        </w:rPr>
        <w:tab/>
        <w:t>DISEÑO Y COLOCACIÓN</w:t>
      </w:r>
    </w:p>
    <w:p w14:paraId="6F603450"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lastRenderedPageBreak/>
        <w:t>•</w:t>
      </w:r>
      <w:r w:rsidRPr="00A27653">
        <w:rPr>
          <w:rFonts w:ascii="Times New Roman" w:eastAsia="Calibri" w:hAnsi="Times New Roman"/>
          <w:color w:val="000000"/>
          <w:szCs w:val="22"/>
          <w:lang w:eastAsia="en-US"/>
        </w:rPr>
        <w:tab/>
        <w:t>El objetivo de la formaleta es lograr que los elementos estructurales cumplan con la forma, lineamientos y dimensiones requeridos en planos y disposiciones especiales.</w:t>
      </w:r>
    </w:p>
    <w:p w14:paraId="58C3C637"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El diseño de formaletas debe considerar la velocidad y método de</w:t>
      </w:r>
    </w:p>
    <w:p w14:paraId="69980E36"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colocación del concreto, además de cargas verticales, horizontales y de impacto, durante la construcción.</w:t>
      </w:r>
    </w:p>
    <w:p w14:paraId="09660C7B"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La formaleta debe ser suficientemente impermeable para impedir la fuga del concreto. Debe estar adecuadamente apuntalada, unida y rigidizada, de tal manera que conserve su forma y posición durante la fundición y el fraguado.</w:t>
      </w:r>
    </w:p>
    <w:p w14:paraId="2AF97C83"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402A7F69"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4.11.2.</w:t>
      </w:r>
      <w:r w:rsidRPr="00A27653">
        <w:rPr>
          <w:rFonts w:ascii="Times New Roman" w:eastAsia="Calibri" w:hAnsi="Times New Roman"/>
          <w:color w:val="000000"/>
          <w:szCs w:val="22"/>
          <w:lang w:eastAsia="en-US"/>
        </w:rPr>
        <w:tab/>
        <w:t>DESENCOFRADO O REMOCIÓN DE FORMALETAS</w:t>
      </w:r>
    </w:p>
    <w:p w14:paraId="3966C679"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El desencofrado y retiro de puntales, deberá hacerse de tal forma, que no perjudique la estructura. No se deberá retirar ninguna formaleta hasta que la estructura sea capaz de resistir su propio peso y el de las cargas aplicadas a la misma.</w:t>
      </w:r>
    </w:p>
    <w:p w14:paraId="36D8D5F1"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No se deberá retirar la formaleta, hasta cumplir como mínimo, los siguientes períodos:</w:t>
      </w:r>
    </w:p>
    <w:p w14:paraId="4F101D05"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383626DA"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Elemento</w:t>
      </w:r>
      <w:r w:rsidRPr="00A27653">
        <w:rPr>
          <w:rFonts w:ascii="Times New Roman" w:eastAsia="Calibri" w:hAnsi="Times New Roman"/>
          <w:color w:val="000000"/>
          <w:szCs w:val="22"/>
          <w:lang w:eastAsia="en-US"/>
        </w:rPr>
        <w:tab/>
        <w:t>Tiempo</w:t>
      </w:r>
      <w:r w:rsidRPr="00A27653">
        <w:rPr>
          <w:rFonts w:ascii="Times New Roman" w:eastAsia="Calibri" w:hAnsi="Times New Roman"/>
          <w:color w:val="000000"/>
          <w:szCs w:val="22"/>
          <w:lang w:eastAsia="en-US"/>
        </w:rPr>
        <w:tab/>
        <w:t>mínimo</w:t>
      </w:r>
    </w:p>
    <w:p w14:paraId="107D5177"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antes de retirar la formaleta</w:t>
      </w:r>
    </w:p>
    <w:p w14:paraId="32AAF4A9" w14:textId="55EB74D6"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 xml:space="preserve">Muros, columnas y </w:t>
      </w:r>
      <w:r w:rsidR="001F7E63" w:rsidRPr="00A27653">
        <w:rPr>
          <w:rFonts w:ascii="Times New Roman" w:eastAsia="Calibri" w:hAnsi="Times New Roman"/>
          <w:color w:val="000000"/>
          <w:szCs w:val="22"/>
          <w:lang w:eastAsia="en-US"/>
        </w:rPr>
        <w:t>elementos verticales</w:t>
      </w:r>
      <w:r w:rsidRPr="00A27653">
        <w:rPr>
          <w:rFonts w:ascii="Times New Roman" w:eastAsia="Calibri" w:hAnsi="Times New Roman"/>
          <w:color w:val="000000"/>
          <w:szCs w:val="22"/>
          <w:lang w:eastAsia="en-US"/>
        </w:rPr>
        <w:tab/>
        <w:t>3 días</w:t>
      </w:r>
    </w:p>
    <w:p w14:paraId="6378B43C"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Vigas</w:t>
      </w:r>
      <w:r w:rsidRPr="00A27653">
        <w:rPr>
          <w:rFonts w:ascii="Times New Roman" w:eastAsia="Calibri" w:hAnsi="Times New Roman"/>
          <w:color w:val="000000"/>
          <w:szCs w:val="22"/>
          <w:lang w:eastAsia="en-US"/>
        </w:rPr>
        <w:tab/>
        <w:t>14 días</w:t>
      </w:r>
    </w:p>
    <w:p w14:paraId="28A74E85"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Voladizos</w:t>
      </w:r>
      <w:r w:rsidRPr="00A27653">
        <w:rPr>
          <w:rFonts w:ascii="Times New Roman" w:eastAsia="Calibri" w:hAnsi="Times New Roman"/>
          <w:color w:val="000000"/>
          <w:szCs w:val="22"/>
          <w:lang w:eastAsia="en-US"/>
        </w:rPr>
        <w:tab/>
        <w:t>21 días</w:t>
      </w:r>
    </w:p>
    <w:p w14:paraId="357C0D4C"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7316F34C"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5280B0E1"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4.12.</w:t>
      </w:r>
      <w:r w:rsidRPr="00A27653">
        <w:rPr>
          <w:rFonts w:ascii="Times New Roman" w:eastAsia="Calibri" w:hAnsi="Times New Roman"/>
          <w:color w:val="000000"/>
          <w:szCs w:val="22"/>
          <w:lang w:eastAsia="en-US"/>
        </w:rPr>
        <w:tab/>
        <w:t>ACERO DE REFUERZO</w:t>
      </w:r>
    </w:p>
    <w:p w14:paraId="1AFD9767" w14:textId="515D19DE"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 xml:space="preserve">El acero de refuerzo debe ser corrugado excepto en el caso de las varillas No. 2. Las varillas de acero de refuerzo a utilizarse serán como mínimo grado 40 (límite de fluencia 2,810 kg/cm2) del tipo legítimo, pero se debe verificar en planos lo solicitado, ya que la mayoría de </w:t>
      </w:r>
      <w:r w:rsidR="00D37638" w:rsidRPr="00A27653">
        <w:rPr>
          <w:rFonts w:ascii="Times New Roman" w:eastAsia="Calibri" w:hAnsi="Times New Roman"/>
          <w:color w:val="000000"/>
          <w:szCs w:val="22"/>
          <w:lang w:eastAsia="en-US"/>
        </w:rPr>
        <w:t>los elementos</w:t>
      </w:r>
      <w:r w:rsidRPr="00A27653">
        <w:rPr>
          <w:rFonts w:ascii="Times New Roman" w:eastAsia="Calibri" w:hAnsi="Times New Roman"/>
          <w:color w:val="000000"/>
          <w:szCs w:val="22"/>
          <w:lang w:eastAsia="en-US"/>
        </w:rPr>
        <w:t xml:space="preserve"> estructurales utilizarán en su refuerzo principal acero grado 60 (límite de fluencia 4,200 kg/cm2). Las barras de refuerzo deben cumplir con la norma NTG 36011 (ASTM C915). Se prefieren corrugadas porque mejora la</w:t>
      </w:r>
      <w:r w:rsidR="00D37638">
        <w:rPr>
          <w:rFonts w:ascii="Times New Roman" w:eastAsia="Calibri" w:hAnsi="Times New Roman"/>
          <w:color w:val="000000"/>
          <w:szCs w:val="22"/>
          <w:lang w:eastAsia="en-US"/>
        </w:rPr>
        <w:t xml:space="preserve"> </w:t>
      </w:r>
      <w:r w:rsidRPr="00A27653">
        <w:rPr>
          <w:rFonts w:ascii="Times New Roman" w:eastAsia="Calibri" w:hAnsi="Times New Roman"/>
          <w:color w:val="000000"/>
          <w:szCs w:val="22"/>
          <w:lang w:eastAsia="en-US"/>
        </w:rPr>
        <w:t>adherencia entre el concreto y el acero.</w:t>
      </w:r>
    </w:p>
    <w:p w14:paraId="0DA60E7E"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3686BF38"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El refuerzo denominado localmente como grado 33 o comercial no debe usarse en vista que no posee ductilidad ni uniformidad y por el alto grado de variabilidad en resistencia y dimensiones.</w:t>
      </w:r>
    </w:p>
    <w:p w14:paraId="6A629574"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630C7E05"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4.12.1.</w:t>
      </w:r>
      <w:r w:rsidRPr="00A27653">
        <w:rPr>
          <w:rFonts w:ascii="Times New Roman" w:eastAsia="Calibri" w:hAnsi="Times New Roman"/>
          <w:color w:val="000000"/>
          <w:szCs w:val="22"/>
          <w:lang w:eastAsia="en-US"/>
        </w:rPr>
        <w:tab/>
        <w:t>GANCHOS ESTÁNDAR</w:t>
      </w:r>
    </w:p>
    <w:p w14:paraId="714B81D2"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El término Gancho estándar se emplea para designar:</w:t>
      </w:r>
    </w:p>
    <w:p w14:paraId="78C046BA"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Un doblez de 180 grados más una extensión de por lo menos 4 diámetros de varilla, pero no menor de 65 mm en el extremo libre de esta.</w:t>
      </w:r>
    </w:p>
    <w:p w14:paraId="03664E14"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Un doblez de 90 grados más una extensión de por lo menos 12 diámetros de varilla en el extremo de esta.</w:t>
      </w:r>
    </w:p>
    <w:p w14:paraId="06CDF62A"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Para ganchos de estribos y anillos, un doblez de 90 grados o de 135 grados más una extensión de por lo menos 6 diámetros de varilla, pero no menor de 65 mm en el extremo de esta.</w:t>
      </w:r>
    </w:p>
    <w:p w14:paraId="266952C5"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31991B2C"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4.12.2.</w:t>
      </w:r>
      <w:r w:rsidRPr="00A27653">
        <w:rPr>
          <w:rFonts w:ascii="Times New Roman" w:eastAsia="Calibri" w:hAnsi="Times New Roman"/>
          <w:color w:val="000000"/>
          <w:szCs w:val="22"/>
          <w:lang w:eastAsia="en-US"/>
        </w:rPr>
        <w:tab/>
        <w:t>DOBLADO</w:t>
      </w:r>
    </w:p>
    <w:p w14:paraId="59B42506"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Todo el acero de refuerzo debe doblarse en frío. Ningún elemento de acero de refuerzo parcialmente ahogado en el concreto, debe doblarse ya que como parte fundamental del concreto armado de ese elemento a menos que el doblez se efectúe por lo menos a una distancia de 2 metros de la parte fundida y luego que el concreto se haya endurecido completamente.</w:t>
      </w:r>
    </w:p>
    <w:p w14:paraId="6EFD404D"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0498C41C"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Los dobleces para estribos se harán alrededor de un perno de doblar, de un diámetro no menor de dos veces al de la varilla. Para las varillas #3 al #5, el diámetro del perno debe ser 5 veces el de la barra; para las #6 al 8#, será 6 diámetros de la barra.</w:t>
      </w:r>
    </w:p>
    <w:p w14:paraId="73A81CA4"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135FC1CE"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4.12.3.</w:t>
      </w:r>
      <w:r w:rsidRPr="00A27653">
        <w:rPr>
          <w:rFonts w:ascii="Times New Roman" w:eastAsia="Calibri" w:hAnsi="Times New Roman"/>
          <w:color w:val="000000"/>
          <w:szCs w:val="22"/>
          <w:lang w:eastAsia="en-US"/>
        </w:rPr>
        <w:tab/>
        <w:t>ESPACIAMIENTOS MINIMOS</w:t>
      </w:r>
    </w:p>
    <w:p w14:paraId="5C43B3B1" w14:textId="39C61C40"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lastRenderedPageBreak/>
        <w:t>La separación libre entre varillas paralelas de una capa no debe ser menor, que el diámetro de la varilla ni menor de 2.5 cm. Cuando el refuerzo paralelo se coloque en dos o más capas, las varillas de las capas superiores deben colocarse arriba de las que están en las capas inferiores, con una distancia libre entre ambas no menor de</w:t>
      </w:r>
      <w:r w:rsidR="00D37638">
        <w:rPr>
          <w:rFonts w:ascii="Times New Roman" w:eastAsia="Calibri" w:hAnsi="Times New Roman"/>
          <w:color w:val="000000"/>
          <w:szCs w:val="22"/>
          <w:lang w:eastAsia="en-US"/>
        </w:rPr>
        <w:t xml:space="preserve"> </w:t>
      </w:r>
      <w:r w:rsidRPr="00A27653">
        <w:rPr>
          <w:rFonts w:ascii="Times New Roman" w:eastAsia="Calibri" w:hAnsi="Times New Roman"/>
          <w:color w:val="000000"/>
          <w:szCs w:val="22"/>
          <w:lang w:eastAsia="en-US"/>
        </w:rPr>
        <w:t>2.5</w:t>
      </w:r>
      <w:r w:rsidR="00D37638">
        <w:rPr>
          <w:rFonts w:ascii="Times New Roman" w:eastAsia="Calibri" w:hAnsi="Times New Roman"/>
          <w:color w:val="000000"/>
          <w:szCs w:val="22"/>
          <w:lang w:eastAsia="en-US"/>
        </w:rPr>
        <w:t xml:space="preserve"> </w:t>
      </w:r>
      <w:r w:rsidRPr="00A27653">
        <w:rPr>
          <w:rFonts w:ascii="Times New Roman" w:eastAsia="Calibri" w:hAnsi="Times New Roman"/>
          <w:color w:val="000000"/>
          <w:szCs w:val="22"/>
          <w:lang w:eastAsia="en-US"/>
        </w:rPr>
        <w:t>cm.</w:t>
      </w:r>
    </w:p>
    <w:p w14:paraId="2C5183C4"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4E38B059"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En aquellos casos en los que, por razones de cálculo sea necesario colocar paquetes de varillas paralelas, actuando estas como una unidad; la cantidad máxima de varillas por paquete será de cuatro varillas por paquete.</w:t>
      </w:r>
    </w:p>
    <w:p w14:paraId="6FD21E5F"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6AE40CC2"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4.12.4.</w:t>
      </w:r>
      <w:r w:rsidRPr="00A27653">
        <w:rPr>
          <w:rFonts w:ascii="Times New Roman" w:eastAsia="Calibri" w:hAnsi="Times New Roman"/>
          <w:color w:val="000000"/>
          <w:szCs w:val="22"/>
          <w:lang w:eastAsia="en-US"/>
        </w:rPr>
        <w:tab/>
        <w:t>RECUBRIMIENTOS MÍNIMOS</w:t>
      </w:r>
    </w:p>
    <w:p w14:paraId="49CA5E32"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Deberán proporcionarse los siguientes recubrimientos mínimos de concreto al acero de refuerzo.</w:t>
      </w:r>
    </w:p>
    <w:p w14:paraId="738C7768"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Concreto en contacto con el suelo y permanentemente expuesto: 7.50 cm.</w:t>
      </w:r>
    </w:p>
    <w:p w14:paraId="6ECDC96A"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Concreto no expuesto al suelo o a la acción del clima: 2.50 cm.</w:t>
      </w:r>
    </w:p>
    <w:p w14:paraId="67B4D26E"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Vigas y columnas; refuerzo principal, anillos, estribos espirales: 4.00 cm.</w:t>
      </w:r>
    </w:p>
    <w:p w14:paraId="1EF9A798" w14:textId="77777777" w:rsidR="00A27653" w:rsidRPr="00A27653" w:rsidRDefault="00A27653" w:rsidP="00D37638">
      <w:pPr>
        <w:autoSpaceDE w:val="0"/>
        <w:autoSpaceDN w:val="0"/>
        <w:adjustRightInd w:val="0"/>
        <w:ind w:left="720" w:hanging="72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El recubrimiento mínimo para paquetes de varillas debe ser el correspondiente al diámetro equivalente del paquete. El recubrimiento máximo será de 5.00 cm.</w:t>
      </w:r>
    </w:p>
    <w:p w14:paraId="6A9F3FB1"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7A5B6275"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4.12.5.</w:t>
      </w:r>
      <w:r w:rsidRPr="00A27653">
        <w:rPr>
          <w:rFonts w:ascii="Times New Roman" w:eastAsia="Calibri" w:hAnsi="Times New Roman"/>
          <w:color w:val="000000"/>
          <w:szCs w:val="22"/>
          <w:lang w:eastAsia="en-US"/>
        </w:rPr>
        <w:tab/>
        <w:t>LONGITUDES DE DESARROLLO Y TRASLAPES</w:t>
      </w:r>
    </w:p>
    <w:p w14:paraId="65F94354" w14:textId="27948566"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Se deberá proporcionar la longitud mínima necesaria para desarrollar la resistencia</w:t>
      </w:r>
      <w:r w:rsidR="00D37638">
        <w:rPr>
          <w:rFonts w:ascii="Times New Roman" w:eastAsia="Calibri" w:hAnsi="Times New Roman"/>
          <w:color w:val="000000"/>
          <w:szCs w:val="22"/>
          <w:lang w:eastAsia="en-US"/>
        </w:rPr>
        <w:t xml:space="preserve"> </w:t>
      </w:r>
      <w:r w:rsidRPr="00A27653">
        <w:rPr>
          <w:rFonts w:ascii="Times New Roman" w:eastAsia="Calibri" w:hAnsi="Times New Roman"/>
          <w:color w:val="000000"/>
          <w:szCs w:val="22"/>
          <w:lang w:eastAsia="en-US"/>
        </w:rPr>
        <w:t>de diseño del acero de refuerzo en una sección crítica, para varillas sujetas a tensión. La longitud de desarrollo mínima será de 50 veces el diámetro de la varilla.</w:t>
      </w:r>
    </w:p>
    <w:p w14:paraId="2698CC4D"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4EE27732"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Para determinar la longitud de desarrollo de varillas individuales dentro de un paquete sujeto a tensión o compresión, se establece que esta sea igual a la longitud de desarrollo de la varilla individual, más un 20% de la longitud, para paquetes de 3 varillas y un 33% adicional para paquetes de 4 varillas.</w:t>
      </w:r>
    </w:p>
    <w:p w14:paraId="61038F1B"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6095E5C2"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La longitud mínima de un empalme para traslapes en elementos sometidos a compresión; no será menor de 40 veces el diámetro de la varilla.</w:t>
      </w:r>
    </w:p>
    <w:p w14:paraId="719C3358"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106A9814" w14:textId="1172A138"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No.</w:t>
      </w:r>
      <w:r w:rsidRPr="00A27653">
        <w:rPr>
          <w:rFonts w:ascii="Times New Roman" w:eastAsia="Calibri" w:hAnsi="Times New Roman"/>
          <w:color w:val="000000"/>
          <w:szCs w:val="22"/>
          <w:lang w:eastAsia="en-US"/>
        </w:rPr>
        <w:tab/>
        <w:t>de varilla</w:t>
      </w:r>
      <w:r w:rsidRPr="00A27653">
        <w:rPr>
          <w:rFonts w:ascii="Times New Roman" w:eastAsia="Calibri" w:hAnsi="Times New Roman"/>
          <w:color w:val="000000"/>
          <w:szCs w:val="22"/>
          <w:lang w:eastAsia="en-US"/>
        </w:rPr>
        <w:tab/>
      </w:r>
      <w:r w:rsidR="001F7E63" w:rsidRPr="00A27653">
        <w:rPr>
          <w:rFonts w:ascii="Times New Roman" w:eastAsia="Calibri" w:hAnsi="Times New Roman"/>
          <w:color w:val="000000"/>
          <w:szCs w:val="22"/>
          <w:lang w:eastAsia="en-US"/>
        </w:rPr>
        <w:t>Diámetro en</w:t>
      </w:r>
      <w:r w:rsidRPr="00A27653">
        <w:rPr>
          <w:rFonts w:ascii="Times New Roman" w:eastAsia="Calibri" w:hAnsi="Times New Roman"/>
          <w:color w:val="000000"/>
          <w:szCs w:val="22"/>
          <w:lang w:eastAsia="en-US"/>
        </w:rPr>
        <w:t xml:space="preserve"> pulgadas</w:t>
      </w:r>
      <w:r w:rsidRPr="00A27653">
        <w:rPr>
          <w:rFonts w:ascii="Times New Roman" w:eastAsia="Calibri" w:hAnsi="Times New Roman"/>
          <w:color w:val="000000"/>
          <w:szCs w:val="22"/>
          <w:lang w:eastAsia="en-US"/>
        </w:rPr>
        <w:tab/>
        <w:t>Diámetro en centímetros</w:t>
      </w:r>
      <w:r w:rsidRPr="00A27653">
        <w:rPr>
          <w:rFonts w:ascii="Times New Roman" w:eastAsia="Calibri" w:hAnsi="Times New Roman"/>
          <w:color w:val="000000"/>
          <w:szCs w:val="22"/>
          <w:lang w:eastAsia="en-US"/>
        </w:rPr>
        <w:tab/>
      </w:r>
    </w:p>
    <w:p w14:paraId="6458FA53" w14:textId="55464392"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3</w:t>
      </w:r>
      <w:r w:rsidRPr="00A27653">
        <w:rPr>
          <w:rFonts w:ascii="Times New Roman" w:eastAsia="Calibri" w:hAnsi="Times New Roman"/>
          <w:color w:val="000000"/>
          <w:szCs w:val="22"/>
          <w:lang w:eastAsia="en-US"/>
        </w:rPr>
        <w:tab/>
        <w:t>3/8”</w:t>
      </w:r>
      <w:r w:rsidRPr="00A27653">
        <w:rPr>
          <w:rFonts w:ascii="Times New Roman" w:eastAsia="Calibri" w:hAnsi="Times New Roman"/>
          <w:color w:val="000000"/>
          <w:szCs w:val="22"/>
          <w:lang w:eastAsia="en-US"/>
        </w:rPr>
        <w:tab/>
      </w:r>
      <w:r w:rsidR="004F723E">
        <w:rPr>
          <w:rFonts w:ascii="Times New Roman" w:eastAsia="Calibri" w:hAnsi="Times New Roman"/>
          <w:color w:val="000000"/>
          <w:szCs w:val="22"/>
          <w:lang w:eastAsia="en-US"/>
        </w:rPr>
        <w:tab/>
      </w:r>
      <w:r w:rsidRPr="00A27653">
        <w:rPr>
          <w:rFonts w:ascii="Times New Roman" w:eastAsia="Calibri" w:hAnsi="Times New Roman"/>
          <w:color w:val="000000"/>
          <w:szCs w:val="22"/>
          <w:lang w:eastAsia="en-US"/>
        </w:rPr>
        <w:t>0.95</w:t>
      </w:r>
      <w:r w:rsidRPr="00A27653">
        <w:rPr>
          <w:rFonts w:ascii="Times New Roman" w:eastAsia="Calibri" w:hAnsi="Times New Roman"/>
          <w:color w:val="000000"/>
          <w:szCs w:val="22"/>
          <w:lang w:eastAsia="en-US"/>
        </w:rPr>
        <w:tab/>
      </w:r>
      <w:r w:rsidR="004F723E">
        <w:rPr>
          <w:rFonts w:ascii="Times New Roman" w:eastAsia="Calibri" w:hAnsi="Times New Roman"/>
          <w:color w:val="000000"/>
          <w:szCs w:val="22"/>
          <w:lang w:eastAsia="en-US"/>
        </w:rPr>
        <w:tab/>
      </w:r>
      <w:r w:rsidR="004F723E">
        <w:rPr>
          <w:rFonts w:ascii="Times New Roman" w:eastAsia="Calibri" w:hAnsi="Times New Roman"/>
          <w:color w:val="000000"/>
          <w:szCs w:val="22"/>
          <w:lang w:eastAsia="en-US"/>
        </w:rPr>
        <w:tab/>
      </w:r>
      <w:r w:rsidRPr="00A27653">
        <w:rPr>
          <w:rFonts w:ascii="Times New Roman" w:eastAsia="Calibri" w:hAnsi="Times New Roman"/>
          <w:color w:val="000000"/>
          <w:szCs w:val="22"/>
          <w:lang w:eastAsia="en-US"/>
        </w:rPr>
        <w:t>38.00 cm</w:t>
      </w:r>
    </w:p>
    <w:p w14:paraId="448831CC" w14:textId="60C0CF78"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4</w:t>
      </w:r>
      <w:r w:rsidRPr="00A27653">
        <w:rPr>
          <w:rFonts w:ascii="Times New Roman" w:eastAsia="Calibri" w:hAnsi="Times New Roman"/>
          <w:color w:val="000000"/>
          <w:szCs w:val="22"/>
          <w:lang w:eastAsia="en-US"/>
        </w:rPr>
        <w:tab/>
        <w:t>½”</w:t>
      </w:r>
      <w:r w:rsidRPr="00A27653">
        <w:rPr>
          <w:rFonts w:ascii="Times New Roman" w:eastAsia="Calibri" w:hAnsi="Times New Roman"/>
          <w:color w:val="000000"/>
          <w:szCs w:val="22"/>
          <w:lang w:eastAsia="en-US"/>
        </w:rPr>
        <w:tab/>
      </w:r>
      <w:r w:rsidR="004F723E">
        <w:rPr>
          <w:rFonts w:ascii="Times New Roman" w:eastAsia="Calibri" w:hAnsi="Times New Roman"/>
          <w:color w:val="000000"/>
          <w:szCs w:val="22"/>
          <w:lang w:eastAsia="en-US"/>
        </w:rPr>
        <w:tab/>
      </w:r>
      <w:r w:rsidRPr="00A27653">
        <w:rPr>
          <w:rFonts w:ascii="Times New Roman" w:eastAsia="Calibri" w:hAnsi="Times New Roman"/>
          <w:color w:val="000000"/>
          <w:szCs w:val="22"/>
          <w:lang w:eastAsia="en-US"/>
        </w:rPr>
        <w:t>1.27</w:t>
      </w:r>
      <w:r w:rsidRPr="00A27653">
        <w:rPr>
          <w:rFonts w:ascii="Times New Roman" w:eastAsia="Calibri" w:hAnsi="Times New Roman"/>
          <w:color w:val="000000"/>
          <w:szCs w:val="22"/>
          <w:lang w:eastAsia="en-US"/>
        </w:rPr>
        <w:tab/>
      </w:r>
      <w:r w:rsidR="004F723E">
        <w:rPr>
          <w:rFonts w:ascii="Times New Roman" w:eastAsia="Calibri" w:hAnsi="Times New Roman"/>
          <w:color w:val="000000"/>
          <w:szCs w:val="22"/>
          <w:lang w:eastAsia="en-US"/>
        </w:rPr>
        <w:tab/>
      </w:r>
      <w:r w:rsidR="004F723E">
        <w:rPr>
          <w:rFonts w:ascii="Times New Roman" w:eastAsia="Calibri" w:hAnsi="Times New Roman"/>
          <w:color w:val="000000"/>
          <w:szCs w:val="22"/>
          <w:lang w:eastAsia="en-US"/>
        </w:rPr>
        <w:tab/>
      </w:r>
      <w:r w:rsidRPr="00A27653">
        <w:rPr>
          <w:rFonts w:ascii="Times New Roman" w:eastAsia="Calibri" w:hAnsi="Times New Roman"/>
          <w:color w:val="000000"/>
          <w:szCs w:val="22"/>
          <w:lang w:eastAsia="en-US"/>
        </w:rPr>
        <w:t>50.80 cm</w:t>
      </w:r>
    </w:p>
    <w:p w14:paraId="37EB2B50" w14:textId="1C4DCFE6"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5</w:t>
      </w:r>
      <w:r w:rsidRPr="00A27653">
        <w:rPr>
          <w:rFonts w:ascii="Times New Roman" w:eastAsia="Calibri" w:hAnsi="Times New Roman"/>
          <w:color w:val="000000"/>
          <w:szCs w:val="22"/>
          <w:lang w:eastAsia="en-US"/>
        </w:rPr>
        <w:tab/>
        <w:t>5/8”</w:t>
      </w:r>
      <w:r w:rsidRPr="00A27653">
        <w:rPr>
          <w:rFonts w:ascii="Times New Roman" w:eastAsia="Calibri" w:hAnsi="Times New Roman"/>
          <w:color w:val="000000"/>
          <w:szCs w:val="22"/>
          <w:lang w:eastAsia="en-US"/>
        </w:rPr>
        <w:tab/>
      </w:r>
      <w:r w:rsidR="0011443D">
        <w:rPr>
          <w:rFonts w:ascii="Times New Roman" w:eastAsia="Calibri" w:hAnsi="Times New Roman"/>
          <w:color w:val="000000"/>
          <w:szCs w:val="22"/>
          <w:lang w:eastAsia="en-US"/>
        </w:rPr>
        <w:tab/>
      </w:r>
      <w:r w:rsidRPr="00A27653">
        <w:rPr>
          <w:rFonts w:ascii="Times New Roman" w:eastAsia="Calibri" w:hAnsi="Times New Roman"/>
          <w:color w:val="000000"/>
          <w:szCs w:val="22"/>
          <w:lang w:eastAsia="en-US"/>
        </w:rPr>
        <w:t>1.59</w:t>
      </w:r>
      <w:r w:rsidRPr="00A27653">
        <w:rPr>
          <w:rFonts w:ascii="Times New Roman" w:eastAsia="Calibri" w:hAnsi="Times New Roman"/>
          <w:color w:val="000000"/>
          <w:szCs w:val="22"/>
          <w:lang w:eastAsia="en-US"/>
        </w:rPr>
        <w:tab/>
      </w:r>
      <w:r w:rsidR="0011443D">
        <w:rPr>
          <w:rFonts w:ascii="Times New Roman" w:eastAsia="Calibri" w:hAnsi="Times New Roman"/>
          <w:color w:val="000000"/>
          <w:szCs w:val="22"/>
          <w:lang w:eastAsia="en-US"/>
        </w:rPr>
        <w:tab/>
      </w:r>
      <w:r w:rsidR="0011443D">
        <w:rPr>
          <w:rFonts w:ascii="Times New Roman" w:eastAsia="Calibri" w:hAnsi="Times New Roman"/>
          <w:color w:val="000000"/>
          <w:szCs w:val="22"/>
          <w:lang w:eastAsia="en-US"/>
        </w:rPr>
        <w:tab/>
      </w:r>
      <w:r w:rsidRPr="00A27653">
        <w:rPr>
          <w:rFonts w:ascii="Times New Roman" w:eastAsia="Calibri" w:hAnsi="Times New Roman"/>
          <w:color w:val="000000"/>
          <w:szCs w:val="22"/>
          <w:lang w:eastAsia="en-US"/>
        </w:rPr>
        <w:t>63.60 cm</w:t>
      </w:r>
    </w:p>
    <w:p w14:paraId="53E96B7C" w14:textId="6917263F"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6</w:t>
      </w:r>
      <w:r w:rsidRPr="00A27653">
        <w:rPr>
          <w:rFonts w:ascii="Times New Roman" w:eastAsia="Calibri" w:hAnsi="Times New Roman"/>
          <w:color w:val="000000"/>
          <w:szCs w:val="22"/>
          <w:lang w:eastAsia="en-US"/>
        </w:rPr>
        <w:tab/>
        <w:t>¾”</w:t>
      </w:r>
      <w:r w:rsidRPr="00A27653">
        <w:rPr>
          <w:rFonts w:ascii="Times New Roman" w:eastAsia="Calibri" w:hAnsi="Times New Roman"/>
          <w:color w:val="000000"/>
          <w:szCs w:val="22"/>
          <w:lang w:eastAsia="en-US"/>
        </w:rPr>
        <w:tab/>
      </w:r>
      <w:r w:rsidR="0011443D">
        <w:rPr>
          <w:rFonts w:ascii="Times New Roman" w:eastAsia="Calibri" w:hAnsi="Times New Roman"/>
          <w:color w:val="000000"/>
          <w:szCs w:val="22"/>
          <w:lang w:eastAsia="en-US"/>
        </w:rPr>
        <w:tab/>
      </w:r>
      <w:r w:rsidRPr="00A27653">
        <w:rPr>
          <w:rFonts w:ascii="Times New Roman" w:eastAsia="Calibri" w:hAnsi="Times New Roman"/>
          <w:color w:val="000000"/>
          <w:szCs w:val="22"/>
          <w:lang w:eastAsia="en-US"/>
        </w:rPr>
        <w:t>1.91</w:t>
      </w:r>
      <w:r w:rsidRPr="00A27653">
        <w:rPr>
          <w:rFonts w:ascii="Times New Roman" w:eastAsia="Calibri" w:hAnsi="Times New Roman"/>
          <w:color w:val="000000"/>
          <w:szCs w:val="22"/>
          <w:lang w:eastAsia="en-US"/>
        </w:rPr>
        <w:tab/>
      </w:r>
      <w:r w:rsidR="0011443D">
        <w:rPr>
          <w:rFonts w:ascii="Times New Roman" w:eastAsia="Calibri" w:hAnsi="Times New Roman"/>
          <w:color w:val="000000"/>
          <w:szCs w:val="22"/>
          <w:lang w:eastAsia="en-US"/>
        </w:rPr>
        <w:tab/>
      </w:r>
      <w:r w:rsidR="0011443D">
        <w:rPr>
          <w:rFonts w:ascii="Times New Roman" w:eastAsia="Calibri" w:hAnsi="Times New Roman"/>
          <w:color w:val="000000"/>
          <w:szCs w:val="22"/>
          <w:lang w:eastAsia="en-US"/>
        </w:rPr>
        <w:tab/>
      </w:r>
      <w:r w:rsidRPr="00A27653">
        <w:rPr>
          <w:rFonts w:ascii="Times New Roman" w:eastAsia="Calibri" w:hAnsi="Times New Roman"/>
          <w:color w:val="000000"/>
          <w:szCs w:val="22"/>
          <w:lang w:eastAsia="en-US"/>
        </w:rPr>
        <w:t>76.40 cm</w:t>
      </w:r>
    </w:p>
    <w:p w14:paraId="3CCD6291" w14:textId="25DB4559"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8</w:t>
      </w:r>
      <w:r w:rsidRPr="00A27653">
        <w:rPr>
          <w:rFonts w:ascii="Times New Roman" w:eastAsia="Calibri" w:hAnsi="Times New Roman"/>
          <w:color w:val="000000"/>
          <w:szCs w:val="22"/>
          <w:lang w:eastAsia="en-US"/>
        </w:rPr>
        <w:tab/>
        <w:t>1”</w:t>
      </w:r>
      <w:r w:rsidRPr="00A27653">
        <w:rPr>
          <w:rFonts w:ascii="Times New Roman" w:eastAsia="Calibri" w:hAnsi="Times New Roman"/>
          <w:color w:val="000000"/>
          <w:szCs w:val="22"/>
          <w:lang w:eastAsia="en-US"/>
        </w:rPr>
        <w:tab/>
      </w:r>
      <w:r w:rsidR="0011443D">
        <w:rPr>
          <w:rFonts w:ascii="Times New Roman" w:eastAsia="Calibri" w:hAnsi="Times New Roman"/>
          <w:color w:val="000000"/>
          <w:szCs w:val="22"/>
          <w:lang w:eastAsia="en-US"/>
        </w:rPr>
        <w:tab/>
      </w:r>
      <w:r w:rsidRPr="00A27653">
        <w:rPr>
          <w:rFonts w:ascii="Times New Roman" w:eastAsia="Calibri" w:hAnsi="Times New Roman"/>
          <w:color w:val="000000"/>
          <w:szCs w:val="22"/>
          <w:lang w:eastAsia="en-US"/>
        </w:rPr>
        <w:t>2.54</w:t>
      </w:r>
      <w:r w:rsidRPr="00A27653">
        <w:rPr>
          <w:rFonts w:ascii="Times New Roman" w:eastAsia="Calibri" w:hAnsi="Times New Roman"/>
          <w:color w:val="000000"/>
          <w:szCs w:val="22"/>
          <w:lang w:eastAsia="en-US"/>
        </w:rPr>
        <w:tab/>
      </w:r>
      <w:r w:rsidR="0011443D">
        <w:rPr>
          <w:rFonts w:ascii="Times New Roman" w:eastAsia="Calibri" w:hAnsi="Times New Roman"/>
          <w:color w:val="000000"/>
          <w:szCs w:val="22"/>
          <w:lang w:eastAsia="en-US"/>
        </w:rPr>
        <w:tab/>
      </w:r>
      <w:r w:rsidR="0011443D">
        <w:rPr>
          <w:rFonts w:ascii="Times New Roman" w:eastAsia="Calibri" w:hAnsi="Times New Roman"/>
          <w:color w:val="000000"/>
          <w:szCs w:val="22"/>
          <w:lang w:eastAsia="en-US"/>
        </w:rPr>
        <w:tab/>
      </w:r>
      <w:r w:rsidRPr="00A27653">
        <w:rPr>
          <w:rFonts w:ascii="Times New Roman" w:eastAsia="Calibri" w:hAnsi="Times New Roman"/>
          <w:color w:val="000000"/>
          <w:szCs w:val="22"/>
          <w:lang w:eastAsia="en-US"/>
        </w:rPr>
        <w:t>101.60 cm</w:t>
      </w:r>
    </w:p>
    <w:p w14:paraId="2E4B2B72"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14CE74EE"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En elementos sujetos a flexión, cada una de las varillas de los paquetes que se cortan en el claro deben terminar en puntos distintos y separados, debe existir entre estas una longitud de traslape mínima de 40 veces el diámetro de la varilla.</w:t>
      </w:r>
    </w:p>
    <w:p w14:paraId="4F6890FF"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798F6BDD"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Por ningún motivo se traslaparán varillas en los puntos siguientes:</w:t>
      </w:r>
    </w:p>
    <w:p w14:paraId="0E29E657"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78763E31"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Donde los esfuerzos sean máximos</w:t>
      </w:r>
    </w:p>
    <w:p w14:paraId="6B3CCC8B"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En los nudos de los elementos</w:t>
      </w:r>
    </w:p>
    <w:p w14:paraId="167FDC52" w14:textId="5C80C804"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 xml:space="preserve">En los puntos localizados a menos de 0.15 metros </w:t>
      </w:r>
      <w:r w:rsidR="004F723E" w:rsidRPr="00A27653">
        <w:rPr>
          <w:rFonts w:ascii="Times New Roman" w:eastAsia="Calibri" w:hAnsi="Times New Roman"/>
          <w:color w:val="000000"/>
          <w:szCs w:val="22"/>
          <w:lang w:eastAsia="en-US"/>
        </w:rPr>
        <w:t>o</w:t>
      </w:r>
      <w:r w:rsidRPr="00A27653">
        <w:rPr>
          <w:rFonts w:ascii="Times New Roman" w:eastAsia="Calibri" w:hAnsi="Times New Roman"/>
          <w:color w:val="000000"/>
          <w:szCs w:val="22"/>
          <w:lang w:eastAsia="en-US"/>
        </w:rPr>
        <w:t xml:space="preserve"> 6 diámetros de la varilla de un borde del miembro donde se encuentren.</w:t>
      </w:r>
    </w:p>
    <w:p w14:paraId="4233F7F3"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5EBC0E07"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En columnas con refuerzo mayor a acero #4 los empalmes traslapados se efectuarán de preferencia a la media altura central de la misma y que adicionarán 3 estribos #3a</w:t>
      </w:r>
    </w:p>
    <w:p w14:paraId="6F72F9D5"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0.10 metros de los del armado normal en el punto del empalme.</w:t>
      </w:r>
    </w:p>
    <w:p w14:paraId="28E751AC"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4D34FF89"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4.13.</w:t>
      </w:r>
      <w:r w:rsidRPr="00A27653">
        <w:rPr>
          <w:rFonts w:ascii="Times New Roman" w:eastAsia="Calibri" w:hAnsi="Times New Roman"/>
          <w:color w:val="000000"/>
          <w:szCs w:val="22"/>
          <w:lang w:eastAsia="en-US"/>
        </w:rPr>
        <w:tab/>
        <w:t>CIMENTACIÓN</w:t>
      </w:r>
    </w:p>
    <w:p w14:paraId="053C12A0" w14:textId="4736C0AE"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lastRenderedPageBreak/>
        <w:t xml:space="preserve">Se denomina cimentación al conjunto de elementos estructurales cuya misión es transmitir las cargas de la edificación o elementos apoyados a este al suelo distribuyéndolas de forma que no superen su presión admisible ni produzcan cargas zonales. Debido a que la resistencia del suelo es, generalmente, menor que la que los pilares o muros que soportará, el área de contacto entre el suelo y la </w:t>
      </w:r>
      <w:r w:rsidR="009D0339" w:rsidRPr="00A27653">
        <w:rPr>
          <w:rFonts w:ascii="Times New Roman" w:eastAsia="Calibri" w:hAnsi="Times New Roman"/>
          <w:color w:val="000000"/>
          <w:szCs w:val="22"/>
          <w:lang w:eastAsia="en-US"/>
        </w:rPr>
        <w:t>cimentación será</w:t>
      </w:r>
      <w:r w:rsidRPr="00A27653">
        <w:rPr>
          <w:rFonts w:ascii="Times New Roman" w:eastAsia="Calibri" w:hAnsi="Times New Roman"/>
          <w:color w:val="000000"/>
          <w:szCs w:val="22"/>
          <w:lang w:eastAsia="en-US"/>
        </w:rPr>
        <w:t xml:space="preserve"> proporcionalmente más grande que los elementos soportados.</w:t>
      </w:r>
    </w:p>
    <w:p w14:paraId="6CA32E28"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4B2EB0E9"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La cimentación incluye los trabajos de excavación, compactación, emplantillado y fabricación de elementos estructurales.</w:t>
      </w:r>
    </w:p>
    <w:p w14:paraId="5945C890"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652C280F"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4.13.1.</w:t>
      </w:r>
      <w:r w:rsidRPr="00A27653">
        <w:rPr>
          <w:rFonts w:ascii="Times New Roman" w:eastAsia="Calibri" w:hAnsi="Times New Roman"/>
          <w:color w:val="000000"/>
          <w:szCs w:val="22"/>
          <w:lang w:eastAsia="en-US"/>
        </w:rPr>
        <w:tab/>
        <w:t>EXCAVACIONES PARA CIMENTACIÓN</w:t>
      </w:r>
    </w:p>
    <w:p w14:paraId="6A09A8EE" w14:textId="1BC33854"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 xml:space="preserve">Las excavaciones tendrán el ancho y profundidad requerida en planos para </w:t>
      </w:r>
      <w:r w:rsidR="009D0339" w:rsidRPr="00A27653">
        <w:rPr>
          <w:rFonts w:ascii="Times New Roman" w:eastAsia="Calibri" w:hAnsi="Times New Roman"/>
          <w:color w:val="000000"/>
          <w:szCs w:val="22"/>
          <w:lang w:eastAsia="en-US"/>
        </w:rPr>
        <w:t>el cimiento</w:t>
      </w:r>
      <w:r w:rsidRPr="00A27653">
        <w:rPr>
          <w:rFonts w:ascii="Times New Roman" w:eastAsia="Calibri" w:hAnsi="Times New Roman"/>
          <w:color w:val="000000"/>
          <w:szCs w:val="22"/>
          <w:lang w:eastAsia="en-US"/>
        </w:rPr>
        <w:t xml:space="preserve"> corrido, zapatas y vigas conectoras.</w:t>
      </w:r>
    </w:p>
    <w:p w14:paraId="26C526BB" w14:textId="54EE3F1A"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 xml:space="preserve"> </w:t>
      </w:r>
    </w:p>
    <w:p w14:paraId="746B91E5"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Se deberá asegurar la verticalidad de la excavación cortando con barreta y respaldándose con plomada. Cuando se presenten terrenos sueltos, apuntalar para evitar el derrumbamiento de las paredes de la excavación. El piso de la excavación debe quedar totalmente horizontal, a nivel y compactado manualmente con equipo adecuado para el efecto. De ser necesario y según el supervisor, se mejorará el terreno con material granular (selecto) compactado y apisonado, para obtener mayor resistencia, para evitar el contacto directo y controlar la humedad. Dicho lecho no debe ser mayor de 15 cm. Los costos de esta actividad se consideran incluidos en el cimiento corrido.</w:t>
      </w:r>
    </w:p>
    <w:p w14:paraId="5DC906B6"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04134C29"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El subsuelo deberá tener como mínimo lo estipulado en el estudio de suelos de proyecto, si se encuentra con un suelo de diferentes características a las indicadas, este suelo debe ser restituido para lograr la resistencia de diseño.</w:t>
      </w:r>
    </w:p>
    <w:p w14:paraId="735D84C7"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65BBB5DC"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Las cimentaciones no se podrán construir en zonas de relleno no controladas ni sobre tierras de cultivo, suelos orgánicos, los cuales deberán ser removidos en su totalidad y reemplazados por suelos seleccionados, los cuales serán autorizados por el supervisor previa revisión de sus características mecánicas, para luego proceder a la compactación del material seleccionado por medios mecanizados, antes de iniciar la construcción de la cimentación.</w:t>
      </w:r>
    </w:p>
    <w:p w14:paraId="6D3CA497"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4A8335BB"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La unidad de medida para excavación será metro cubico.</w:t>
      </w:r>
    </w:p>
    <w:p w14:paraId="26B130F6"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76B001AA"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4.13.2.</w:t>
      </w:r>
      <w:r w:rsidRPr="00A27653">
        <w:rPr>
          <w:rFonts w:ascii="Times New Roman" w:eastAsia="Calibri" w:hAnsi="Times New Roman"/>
          <w:color w:val="000000"/>
          <w:szCs w:val="22"/>
          <w:lang w:eastAsia="en-US"/>
        </w:rPr>
        <w:tab/>
        <w:t>ZAPATAS, CIMIENTO CORRIDO Y VIGAS CONECTORAS</w:t>
      </w:r>
    </w:p>
    <w:p w14:paraId="593CCEB8"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Se deberá cumplir con la resistencia a la compresión del concreto requerida en planos, empleando el acero indicado. Incluye todos los materiales y trabajos necesarios para su realización.</w:t>
      </w:r>
    </w:p>
    <w:p w14:paraId="0CD33B58"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1E9851EC"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No se permitirá ninguna fundición de cimiento o zapatas si antes no ha sido verificado en el cumplimiento de los requerimientos del estudio de suelos y el tipo de armado del cimiento corrido, por parte del supervisor asignado quien autorizará por escrito las fundiciones.</w:t>
      </w:r>
    </w:p>
    <w:p w14:paraId="548B91FE"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096C8D27"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La fundición del cimiento corrido y de las zapatas se debe realizar de forma monolítica para evitar juntas frías en estos elementos que forman parte de la estructura a construir.</w:t>
      </w:r>
    </w:p>
    <w:p w14:paraId="246FB669"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6CB5982F"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Se debe respetar el recubrimiento mínimo del cimiento corrido y de las zapatas, para ello se utilizarán alzas de concreto de 7.5 centímetros de alto. El gancho del eslabón debe quedar hacia arriba con la separación indicada en los planos, en caso no sean estribos los que refuercen el cimiento.</w:t>
      </w:r>
    </w:p>
    <w:p w14:paraId="0D9C2C34"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3B58745F"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El anclaje del acero de las columnas en el cimiento corrido debe hacerse hasta la parte inferior, por encima del refuerzo de la zapata y no debe ser menor de 40 centímetros.</w:t>
      </w:r>
    </w:p>
    <w:p w14:paraId="4B75442A"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6CC4EF6C"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lastRenderedPageBreak/>
        <w:t>La unidad de medida de las zapatas será la unidad, para el cimiento y la viga conectora se utilizará el metro lineal.</w:t>
      </w:r>
    </w:p>
    <w:p w14:paraId="5A21FF37"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 xml:space="preserve"> </w:t>
      </w:r>
    </w:p>
    <w:p w14:paraId="5F3D4F11"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4.13.3.</w:t>
      </w:r>
      <w:r w:rsidRPr="00A27653">
        <w:rPr>
          <w:rFonts w:ascii="Times New Roman" w:eastAsia="Calibri" w:hAnsi="Times New Roman"/>
          <w:color w:val="000000"/>
          <w:szCs w:val="22"/>
          <w:lang w:eastAsia="en-US"/>
        </w:rPr>
        <w:tab/>
        <w:t>EMPLANTILLADO O MURO DE CIMENTACIÓN</w:t>
      </w:r>
    </w:p>
    <w:p w14:paraId="4E0F2F45"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Consiste en el levantado de las hiladas de block que indiquen los planos sobre el cimiento corrido. El block tendrá la resistencia que indiquen los planos y se pegará con sabieta con proporción 1:2 (cemento, arena). La unidad de medida es metro cuadrado.</w:t>
      </w:r>
    </w:p>
    <w:p w14:paraId="379539B7"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72D3FE8A"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4.13.4.</w:t>
      </w:r>
      <w:r w:rsidRPr="00A27653">
        <w:rPr>
          <w:rFonts w:ascii="Times New Roman" w:eastAsia="Calibri" w:hAnsi="Times New Roman"/>
          <w:color w:val="000000"/>
          <w:szCs w:val="22"/>
          <w:lang w:eastAsia="en-US"/>
        </w:rPr>
        <w:tab/>
        <w:t>RELLENO DE CIMENTACIÓN</w:t>
      </w:r>
    </w:p>
    <w:p w14:paraId="49D8E4E6"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El relleno de la cimentación se efectuará hasta que el Supervisor inspeccione la fundición y el proceso de curado del concreto haya concluido y tenga la suficiente resistencia para soportar presiones.</w:t>
      </w:r>
    </w:p>
    <w:p w14:paraId="20D233A2"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3B138CCB"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El relleno se efectuará con el mismo material excavado, salvo que el Supervisor indique lo contrario, el cual deberá efectuarse compactado adecuadamente en capas no mayores de 0.20 metros debidamente compactadas, apisonado, humedeciendo y golpeando cada capa de relleno, con equipo mecánico adecuado. Su unidad de cuantificación se define por metro cúbico.</w:t>
      </w:r>
    </w:p>
    <w:p w14:paraId="780D1166"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2861651A"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4.14.</w:t>
      </w:r>
      <w:r w:rsidRPr="00A27653">
        <w:rPr>
          <w:rFonts w:ascii="Times New Roman" w:eastAsia="Calibri" w:hAnsi="Times New Roman"/>
          <w:color w:val="000000"/>
          <w:szCs w:val="22"/>
          <w:lang w:eastAsia="en-US"/>
        </w:rPr>
        <w:tab/>
        <w:t>SOLERA HIDRÓFUGA.</w:t>
      </w:r>
    </w:p>
    <w:p w14:paraId="3B70516A"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Su función radica en evitar el ingreso de la humead hacia el interior de los espacios, ya que ello genera problemas en los pisos o en los muros.</w:t>
      </w:r>
    </w:p>
    <w:p w14:paraId="5EF02779"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3E27303D"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Este trabajo incluye todos los materiales e insumos necesarios para fabricar la solera hidrófuga o de humead de concreto armado, la cual se arma y funde sobre la última hilada de block del emplantillado o muro de cimentación. Debe cumplir con las medidas y armado de refuerzo indicado en planos. Su unidad de cuantificación se define por metro lineal.</w:t>
      </w:r>
    </w:p>
    <w:p w14:paraId="0072617E"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3F12BD45"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4.15.</w:t>
      </w:r>
      <w:r w:rsidRPr="00A27653">
        <w:rPr>
          <w:rFonts w:ascii="Times New Roman" w:eastAsia="Calibri" w:hAnsi="Times New Roman"/>
          <w:color w:val="000000"/>
          <w:szCs w:val="22"/>
          <w:lang w:eastAsia="en-US"/>
        </w:rPr>
        <w:tab/>
        <w:t>COLUMNAS PRINCIPALES</w:t>
      </w:r>
    </w:p>
    <w:p w14:paraId="4CF3D722" w14:textId="68B7C05E"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 xml:space="preserve">Estas columnas se proyectan para soportar las vigas y se colocarán según indica los planos. Deben ser fundidas monolíticamente a partir del nivel del suelo. Su unidad de cuantificación será por metro lineal, el cual incluye todos los trabajos para su fabricación. Se deberán respetar las medidas y armado de refuerzo indicados en planos. A menos que se indique lo contrario en planos, el acabado será tallado debiendo cuidar que no presente ningún tipo de </w:t>
      </w:r>
      <w:r w:rsidR="009D0339" w:rsidRPr="00A27653">
        <w:rPr>
          <w:rFonts w:ascii="Times New Roman" w:eastAsia="Calibri" w:hAnsi="Times New Roman"/>
          <w:color w:val="000000"/>
          <w:szCs w:val="22"/>
          <w:lang w:eastAsia="en-US"/>
        </w:rPr>
        <w:t>cajones</w:t>
      </w:r>
      <w:r w:rsidRPr="00A27653">
        <w:rPr>
          <w:rFonts w:ascii="Times New Roman" w:eastAsia="Calibri" w:hAnsi="Times New Roman"/>
          <w:color w:val="000000"/>
          <w:szCs w:val="22"/>
          <w:lang w:eastAsia="en-US"/>
        </w:rPr>
        <w:t>.</w:t>
      </w:r>
    </w:p>
    <w:p w14:paraId="41911B34"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76CD6A49"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4.16.</w:t>
      </w:r>
      <w:r w:rsidRPr="00A27653">
        <w:rPr>
          <w:rFonts w:ascii="Times New Roman" w:eastAsia="Calibri" w:hAnsi="Times New Roman"/>
          <w:color w:val="000000"/>
          <w:szCs w:val="22"/>
          <w:lang w:eastAsia="en-US"/>
        </w:rPr>
        <w:tab/>
        <w:t>COLUMNAS SECUNDARIAS</w:t>
      </w:r>
    </w:p>
    <w:p w14:paraId="41736EE7" w14:textId="15756355"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 xml:space="preserve">Estas columnas se proyectarán para proporcionar rigidez al muro, son parte integral del muro y se colocarán según indica los planos. Su unidad de cuantificación será por metro lineal, el cual incluye todos los trabajos para su fabricación. Se deberán respetar las medidas y armado de refuerzos indicados en planos. A menos que se indique lo contrario en planos, el acabo será tallado, debiendo cuidar que no presente ningún tipo de </w:t>
      </w:r>
      <w:r w:rsidR="009D0339" w:rsidRPr="00A27653">
        <w:rPr>
          <w:rFonts w:ascii="Times New Roman" w:eastAsia="Calibri" w:hAnsi="Times New Roman"/>
          <w:color w:val="000000"/>
          <w:szCs w:val="22"/>
          <w:lang w:eastAsia="en-US"/>
        </w:rPr>
        <w:t>cajones</w:t>
      </w:r>
      <w:r w:rsidRPr="00A27653">
        <w:rPr>
          <w:rFonts w:ascii="Times New Roman" w:eastAsia="Calibri" w:hAnsi="Times New Roman"/>
          <w:color w:val="000000"/>
          <w:szCs w:val="22"/>
          <w:lang w:eastAsia="en-US"/>
        </w:rPr>
        <w:t>. La unidad de medida será por metro lineal.</w:t>
      </w:r>
    </w:p>
    <w:p w14:paraId="04725B7A"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322C1CB5"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4.17.</w:t>
      </w:r>
      <w:r w:rsidRPr="00A27653">
        <w:rPr>
          <w:rFonts w:ascii="Times New Roman" w:eastAsia="Calibri" w:hAnsi="Times New Roman"/>
          <w:color w:val="000000"/>
          <w:szCs w:val="22"/>
          <w:lang w:eastAsia="en-US"/>
        </w:rPr>
        <w:tab/>
        <w:t>SOLERAS</w:t>
      </w:r>
      <w:r w:rsidRPr="00A27653">
        <w:rPr>
          <w:rFonts w:ascii="Times New Roman" w:eastAsia="Calibri" w:hAnsi="Times New Roman"/>
          <w:color w:val="000000"/>
          <w:szCs w:val="22"/>
          <w:lang w:eastAsia="en-US"/>
        </w:rPr>
        <w:tab/>
        <w:t>INTERMEDIAS,</w:t>
      </w:r>
      <w:r w:rsidRPr="00A27653">
        <w:rPr>
          <w:rFonts w:ascii="Times New Roman" w:eastAsia="Calibri" w:hAnsi="Times New Roman"/>
          <w:color w:val="000000"/>
          <w:szCs w:val="22"/>
          <w:lang w:eastAsia="en-US"/>
        </w:rPr>
        <w:tab/>
        <w:t>SOLERAS</w:t>
      </w:r>
      <w:r w:rsidRPr="00A27653">
        <w:rPr>
          <w:rFonts w:ascii="Times New Roman" w:eastAsia="Calibri" w:hAnsi="Times New Roman"/>
          <w:color w:val="000000"/>
          <w:szCs w:val="22"/>
          <w:lang w:eastAsia="en-US"/>
        </w:rPr>
        <w:tab/>
        <w:t>DE</w:t>
      </w:r>
      <w:r w:rsidRPr="00A27653">
        <w:rPr>
          <w:rFonts w:ascii="Times New Roman" w:eastAsia="Calibri" w:hAnsi="Times New Roman"/>
          <w:color w:val="000000"/>
          <w:szCs w:val="22"/>
          <w:lang w:eastAsia="en-US"/>
        </w:rPr>
        <w:tab/>
        <w:t>CORONA,</w:t>
      </w:r>
      <w:r w:rsidRPr="00A27653">
        <w:rPr>
          <w:rFonts w:ascii="Times New Roman" w:eastAsia="Calibri" w:hAnsi="Times New Roman"/>
          <w:color w:val="000000"/>
          <w:szCs w:val="22"/>
          <w:lang w:eastAsia="en-US"/>
        </w:rPr>
        <w:tab/>
        <w:t>SOLERAS MOJINTE.</w:t>
      </w:r>
    </w:p>
    <w:p w14:paraId="5E4A446F" w14:textId="58FCAFFC"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 xml:space="preserve">Cada una de estas vigas será de concreto reforzado con la resistencia indicada en planos, dimensiones y refuerzo de acero armado y con el tipo de hierro que se indica en planos. Su unidad de cuantificación es por metro lineal, el cual incluye el </w:t>
      </w:r>
      <w:proofErr w:type="spellStart"/>
      <w:r w:rsidRPr="00A27653">
        <w:rPr>
          <w:rFonts w:ascii="Times New Roman" w:eastAsia="Calibri" w:hAnsi="Times New Roman"/>
          <w:color w:val="000000"/>
          <w:szCs w:val="22"/>
          <w:lang w:eastAsia="en-US"/>
        </w:rPr>
        <w:t>paraleado</w:t>
      </w:r>
      <w:proofErr w:type="spellEnd"/>
      <w:r w:rsidRPr="00A27653">
        <w:rPr>
          <w:rFonts w:ascii="Times New Roman" w:eastAsia="Calibri" w:hAnsi="Times New Roman"/>
          <w:color w:val="000000"/>
          <w:szCs w:val="22"/>
          <w:lang w:eastAsia="en-US"/>
        </w:rPr>
        <w:t>,</w:t>
      </w:r>
      <w:r w:rsidR="004B29B1">
        <w:rPr>
          <w:rFonts w:ascii="Times New Roman" w:eastAsia="Calibri" w:hAnsi="Times New Roman"/>
          <w:color w:val="000000"/>
          <w:szCs w:val="22"/>
          <w:lang w:eastAsia="en-US"/>
        </w:rPr>
        <w:t xml:space="preserve"> </w:t>
      </w:r>
      <w:proofErr w:type="spellStart"/>
      <w:r w:rsidRPr="00A27653">
        <w:rPr>
          <w:rFonts w:ascii="Times New Roman" w:eastAsia="Calibri" w:hAnsi="Times New Roman"/>
          <w:color w:val="000000"/>
          <w:szCs w:val="22"/>
          <w:lang w:eastAsia="en-US"/>
        </w:rPr>
        <w:t>formaleteado</w:t>
      </w:r>
      <w:proofErr w:type="spellEnd"/>
      <w:r w:rsidRPr="00A27653">
        <w:rPr>
          <w:rFonts w:ascii="Times New Roman" w:eastAsia="Calibri" w:hAnsi="Times New Roman"/>
          <w:color w:val="000000"/>
          <w:szCs w:val="22"/>
          <w:lang w:eastAsia="en-US"/>
        </w:rPr>
        <w:t xml:space="preserve">, fabricación y colocación de la armadura (fabricación, traslado y colocación) del concreto, fraguado y desencofrado. Se deberán respetar las medidas y armado de refuerzos indicados en planos. A menos que se indique lo contrario en planos, el acabado será tallado, debiendo cuidar que no presente ningún tipo de </w:t>
      </w:r>
      <w:proofErr w:type="spellStart"/>
      <w:r w:rsidRPr="00A27653">
        <w:rPr>
          <w:rFonts w:ascii="Times New Roman" w:eastAsia="Calibri" w:hAnsi="Times New Roman"/>
          <w:color w:val="000000"/>
          <w:szCs w:val="22"/>
          <w:lang w:eastAsia="en-US"/>
        </w:rPr>
        <w:t>cajoneos</w:t>
      </w:r>
      <w:proofErr w:type="spellEnd"/>
      <w:r w:rsidRPr="00A27653">
        <w:rPr>
          <w:rFonts w:ascii="Times New Roman" w:eastAsia="Calibri" w:hAnsi="Times New Roman"/>
          <w:color w:val="000000"/>
          <w:szCs w:val="22"/>
          <w:lang w:eastAsia="en-US"/>
        </w:rPr>
        <w:t>.</w:t>
      </w:r>
    </w:p>
    <w:p w14:paraId="62303A80"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6F413B15"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4.18.</w:t>
      </w:r>
      <w:r w:rsidRPr="00A27653">
        <w:rPr>
          <w:rFonts w:ascii="Times New Roman" w:eastAsia="Calibri" w:hAnsi="Times New Roman"/>
          <w:color w:val="000000"/>
          <w:szCs w:val="22"/>
          <w:lang w:eastAsia="en-US"/>
        </w:rPr>
        <w:tab/>
        <w:t>LOSA</w:t>
      </w:r>
    </w:p>
    <w:p w14:paraId="348474C3"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Las losas serán tipo macizas de concreto armado, fundidas en el lugar, el armado de la misma será según lo especificado en planos respectivos. La unidad de medida será por metro cuadrado.</w:t>
      </w:r>
    </w:p>
    <w:p w14:paraId="5880387A"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43F7C1DD" w14:textId="1FA7FC52"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La losa será armada conforme al sistema tipo canasta, a menos que en planos indique lo contrario, utilizando la luz (L) medida a ejes de los elementos</w:t>
      </w:r>
      <w:r w:rsidR="00C173FB">
        <w:rPr>
          <w:rFonts w:ascii="Times New Roman" w:eastAsia="Calibri" w:hAnsi="Times New Roman"/>
          <w:color w:val="000000"/>
          <w:szCs w:val="22"/>
          <w:lang w:eastAsia="en-US"/>
        </w:rPr>
        <w:t xml:space="preserve"> </w:t>
      </w:r>
      <w:r w:rsidRPr="00A27653">
        <w:rPr>
          <w:rFonts w:ascii="Times New Roman" w:eastAsia="Calibri" w:hAnsi="Times New Roman"/>
          <w:color w:val="000000"/>
          <w:szCs w:val="22"/>
          <w:lang w:eastAsia="en-US"/>
        </w:rPr>
        <w:t xml:space="preserve">estructurales horizontales a los que va a ir anclada, como parámetro para definir la longitud de bastones y tensiones, los cuales tendrán L/4 y L/5 respectivamente. El curado o fraguado de la losa será mediante una cama de agua. La cama de agua deberá estar cubriendo la totalidad de la losa por lo mínimo durante 3 días y después regado de agua en varias ocasiones durante el día, durante 14 días para lograr un curado eficiente, pudiendo cambiar este procedimiento por la aplicación </w:t>
      </w:r>
      <w:r w:rsidR="00C173FB" w:rsidRPr="00A27653">
        <w:rPr>
          <w:rFonts w:ascii="Times New Roman" w:eastAsia="Calibri" w:hAnsi="Times New Roman"/>
          <w:color w:val="000000"/>
          <w:szCs w:val="22"/>
          <w:lang w:eastAsia="en-US"/>
        </w:rPr>
        <w:t>de un</w:t>
      </w:r>
      <w:r w:rsidRPr="00A27653">
        <w:rPr>
          <w:rFonts w:ascii="Times New Roman" w:eastAsia="Calibri" w:hAnsi="Times New Roman"/>
          <w:color w:val="000000"/>
          <w:szCs w:val="22"/>
          <w:lang w:eastAsia="en-US"/>
        </w:rPr>
        <w:t xml:space="preserve"> aditivo tipo </w:t>
      </w:r>
      <w:proofErr w:type="spellStart"/>
      <w:r w:rsidRPr="00A27653">
        <w:rPr>
          <w:rFonts w:ascii="Times New Roman" w:eastAsia="Calibri" w:hAnsi="Times New Roman"/>
          <w:color w:val="000000"/>
          <w:szCs w:val="22"/>
          <w:lang w:eastAsia="en-US"/>
        </w:rPr>
        <w:t>anti-sol</w:t>
      </w:r>
      <w:proofErr w:type="spellEnd"/>
      <w:r w:rsidRPr="00A27653">
        <w:rPr>
          <w:rFonts w:ascii="Times New Roman" w:eastAsia="Calibri" w:hAnsi="Times New Roman"/>
          <w:color w:val="000000"/>
          <w:szCs w:val="22"/>
          <w:lang w:eastAsia="en-US"/>
        </w:rPr>
        <w:t xml:space="preserve"> que autorice el supervisor y siguiendo las instrucciones del fabricante. Se conformarán los pañuelos con </w:t>
      </w:r>
      <w:proofErr w:type="spellStart"/>
      <w:r w:rsidRPr="00A27653">
        <w:rPr>
          <w:rFonts w:ascii="Times New Roman" w:eastAsia="Calibri" w:hAnsi="Times New Roman"/>
          <w:color w:val="000000"/>
          <w:szCs w:val="22"/>
          <w:lang w:eastAsia="en-US"/>
        </w:rPr>
        <w:t>mezclón</w:t>
      </w:r>
      <w:proofErr w:type="spellEnd"/>
      <w:r w:rsidRPr="00A27653">
        <w:rPr>
          <w:rFonts w:ascii="Times New Roman" w:eastAsia="Calibri" w:hAnsi="Times New Roman"/>
          <w:color w:val="000000"/>
          <w:szCs w:val="22"/>
          <w:lang w:eastAsia="en-US"/>
        </w:rPr>
        <w:t xml:space="preserve"> (proporción 1:5:1/4 = cal, arena amarilla, cemento y aditivo para adherencia de morteros, según </w:t>
      </w:r>
      <w:r w:rsidR="00C173FB" w:rsidRPr="00A27653">
        <w:rPr>
          <w:rFonts w:ascii="Times New Roman" w:eastAsia="Calibri" w:hAnsi="Times New Roman"/>
          <w:color w:val="000000"/>
          <w:szCs w:val="22"/>
          <w:lang w:eastAsia="en-US"/>
        </w:rPr>
        <w:t>instrucciones del</w:t>
      </w:r>
      <w:r w:rsidRPr="00A27653">
        <w:rPr>
          <w:rFonts w:ascii="Times New Roman" w:eastAsia="Calibri" w:hAnsi="Times New Roman"/>
          <w:color w:val="000000"/>
          <w:szCs w:val="22"/>
          <w:lang w:eastAsia="en-US"/>
        </w:rPr>
        <w:t xml:space="preserve"> fabricante) con pendiente hacia las respectivas bajadas de agua.</w:t>
      </w:r>
    </w:p>
    <w:p w14:paraId="12D5259D"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1610B8DA"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 xml:space="preserve">Será de concreto reforzado de resistencia </w:t>
      </w:r>
      <w:proofErr w:type="spellStart"/>
      <w:r w:rsidRPr="00A27653">
        <w:rPr>
          <w:rFonts w:ascii="Times New Roman" w:eastAsia="Calibri" w:hAnsi="Times New Roman"/>
          <w:color w:val="000000"/>
          <w:szCs w:val="22"/>
          <w:lang w:eastAsia="en-US"/>
        </w:rPr>
        <w:t>f’c</w:t>
      </w:r>
      <w:proofErr w:type="spellEnd"/>
      <w:r w:rsidRPr="00A27653">
        <w:rPr>
          <w:rFonts w:ascii="Times New Roman" w:eastAsia="Calibri" w:hAnsi="Times New Roman"/>
          <w:color w:val="000000"/>
          <w:szCs w:val="22"/>
          <w:lang w:eastAsia="en-US"/>
        </w:rPr>
        <w:t xml:space="preserve"> = 280 kg/cm2 y el acero de refuerzo será Grado 60.</w:t>
      </w:r>
    </w:p>
    <w:p w14:paraId="1A903B3F"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2A3D8E45"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5.</w:t>
      </w:r>
      <w:r w:rsidRPr="00A27653">
        <w:rPr>
          <w:rFonts w:ascii="Times New Roman" w:eastAsia="Calibri" w:hAnsi="Times New Roman"/>
          <w:color w:val="000000"/>
          <w:szCs w:val="22"/>
          <w:lang w:eastAsia="en-US"/>
        </w:rPr>
        <w:tab/>
        <w:t>MAMPOSTERÍA</w:t>
      </w:r>
    </w:p>
    <w:p w14:paraId="1687B141"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Se entiende como mampostería el sistema constructivo por medio del cual unidades formadas o moldeadas, por lo general lo suficiente pequeñas para que una sola persona los manipule, se adhieren con mortero para formar paredes o muros.</w:t>
      </w:r>
    </w:p>
    <w:p w14:paraId="6EA7C953"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35E376A1"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5.1.</w:t>
      </w:r>
      <w:r w:rsidRPr="00A27653">
        <w:rPr>
          <w:rFonts w:ascii="Times New Roman" w:eastAsia="Calibri" w:hAnsi="Times New Roman"/>
          <w:color w:val="000000"/>
          <w:szCs w:val="22"/>
          <w:lang w:eastAsia="en-US"/>
        </w:rPr>
        <w:tab/>
        <w:t>DEFINICIONES</w:t>
      </w:r>
    </w:p>
    <w:p w14:paraId="724AD387"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3BA1E877"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5.1.1.</w:t>
      </w:r>
      <w:r w:rsidRPr="00A27653">
        <w:rPr>
          <w:rFonts w:ascii="Times New Roman" w:eastAsia="Calibri" w:hAnsi="Times New Roman"/>
          <w:color w:val="000000"/>
          <w:szCs w:val="22"/>
          <w:lang w:eastAsia="en-US"/>
        </w:rPr>
        <w:tab/>
        <w:t>BLOQUES DE CONCRETO (BLOCKS)</w:t>
      </w:r>
    </w:p>
    <w:p w14:paraId="4D5FF1F9"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Los bloques son hechos de una mezcla de cemento hidráulico y arena de río o arena pómez y algunas veces otros constituyentes (aditivos para inclusión de aire, pigmentos para coloración, impermeabilizantes, etc.). Deben de cumplir con la norma NTG 41054.</w:t>
      </w:r>
    </w:p>
    <w:p w14:paraId="74D2C801"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554FB371"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La resistencia a la compresión de los blocks debe ser la indicada en los planos y la unidad de mampostería deberá tener un certificado que avale esa resistencia.</w:t>
      </w:r>
    </w:p>
    <w:p w14:paraId="6DA3D13C"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409EED2C"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5.1.2.</w:t>
      </w:r>
      <w:r w:rsidRPr="00A27653">
        <w:rPr>
          <w:rFonts w:ascii="Times New Roman" w:eastAsia="Calibri" w:hAnsi="Times New Roman"/>
          <w:color w:val="000000"/>
          <w:szCs w:val="22"/>
          <w:lang w:eastAsia="en-US"/>
        </w:rPr>
        <w:tab/>
        <w:t>MORTERO</w:t>
      </w:r>
    </w:p>
    <w:p w14:paraId="2BFD8CEC" w14:textId="0A87A90A"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 xml:space="preserve">Son los materiales que sirven de liga entre unidades de mampostería. Deben cumplir con las normas ASTM C270. Los espesores para las juntas verticales y horizontales varían entre 7 mm a 13 mm, siendo el promedio ideal del orden 10 </w:t>
      </w:r>
      <w:proofErr w:type="spellStart"/>
      <w:r w:rsidRPr="00A27653">
        <w:rPr>
          <w:rFonts w:ascii="Times New Roman" w:eastAsia="Calibri" w:hAnsi="Times New Roman"/>
          <w:color w:val="000000"/>
          <w:szCs w:val="22"/>
          <w:lang w:eastAsia="en-US"/>
        </w:rPr>
        <w:t>mm.</w:t>
      </w:r>
      <w:proofErr w:type="spellEnd"/>
      <w:r w:rsidR="00C173FB">
        <w:rPr>
          <w:rFonts w:ascii="Times New Roman" w:eastAsia="Calibri" w:hAnsi="Times New Roman"/>
          <w:color w:val="000000"/>
          <w:szCs w:val="22"/>
          <w:lang w:eastAsia="en-US"/>
        </w:rPr>
        <w:t xml:space="preserve"> </w:t>
      </w:r>
      <w:r w:rsidRPr="00A27653">
        <w:rPr>
          <w:rFonts w:ascii="Times New Roman" w:eastAsia="Calibri" w:hAnsi="Times New Roman"/>
          <w:color w:val="000000"/>
          <w:szCs w:val="22"/>
          <w:lang w:eastAsia="en-US"/>
        </w:rPr>
        <w:t>Los morteros funcionalmente también sirven de sello contra la penetración de aire y humedad.</w:t>
      </w:r>
    </w:p>
    <w:p w14:paraId="39140EB4"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 xml:space="preserve"> </w:t>
      </w:r>
    </w:p>
    <w:p w14:paraId="52A5184A"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Los principales componentes de un mortero son cemento, cal, arena y agua. El cemento le da al mortero resistencia y durabilidad y la cal mejora sus propiedades de adherencia.</w:t>
      </w:r>
    </w:p>
    <w:p w14:paraId="22A1BFCD"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3247EB0C"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El mortero (sabieta) se debe preparar con agua limpia exenta de sales y en la cantidad necesaria para formar un mortero de tal consistencia, deberá utilizarse mortero con una proporción de cemento: arena en volumen de 1:3, pudiendo agregarle ¼” en proporción de cal para mejorar la trabajabilidad, mayor retención de agua y elasticidad.</w:t>
      </w:r>
    </w:p>
    <w:p w14:paraId="0C110175"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03718DAB"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5.1.3.</w:t>
      </w:r>
      <w:r w:rsidRPr="00A27653">
        <w:rPr>
          <w:rFonts w:ascii="Times New Roman" w:eastAsia="Calibri" w:hAnsi="Times New Roman"/>
          <w:color w:val="000000"/>
          <w:szCs w:val="22"/>
          <w:lang w:eastAsia="en-US"/>
        </w:rPr>
        <w:tab/>
        <w:t>GROUT</w:t>
      </w:r>
    </w:p>
    <w:p w14:paraId="36549A62" w14:textId="0CF1E8E9"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Es una mezcla de cemento, arena, grava fina y la cantidad de agua necesaria para proporcionar una mezcla fluida, que permita su colocación dentro de las celdas de mampostería alrededor del acero de refuerzo. Se fundirá en alturas de aproximadamente 1.00</w:t>
      </w:r>
      <w:r w:rsidR="00C173FB">
        <w:rPr>
          <w:rFonts w:ascii="Times New Roman" w:eastAsia="Calibri" w:hAnsi="Times New Roman"/>
          <w:color w:val="000000"/>
          <w:szCs w:val="22"/>
          <w:lang w:eastAsia="en-US"/>
        </w:rPr>
        <w:t xml:space="preserve"> </w:t>
      </w:r>
      <w:proofErr w:type="spellStart"/>
      <w:r w:rsidRPr="00A27653">
        <w:rPr>
          <w:rFonts w:ascii="Times New Roman" w:eastAsia="Calibri" w:hAnsi="Times New Roman"/>
          <w:color w:val="000000"/>
          <w:szCs w:val="22"/>
          <w:lang w:eastAsia="en-US"/>
        </w:rPr>
        <w:t>mt</w:t>
      </w:r>
      <w:proofErr w:type="spellEnd"/>
      <w:r w:rsidRPr="00A27653">
        <w:rPr>
          <w:rFonts w:ascii="Times New Roman" w:eastAsia="Calibri" w:hAnsi="Times New Roman"/>
          <w:color w:val="000000"/>
          <w:szCs w:val="22"/>
          <w:lang w:eastAsia="en-US"/>
        </w:rPr>
        <w:t xml:space="preserve">., compactándolo al momento de verterlo y re compactándolo minutos después al ser absorbida una parte del agua. El revenimiento estará entre 127 y 254 </w:t>
      </w:r>
      <w:proofErr w:type="spellStart"/>
      <w:r w:rsidRPr="00A27653">
        <w:rPr>
          <w:rFonts w:ascii="Times New Roman" w:eastAsia="Calibri" w:hAnsi="Times New Roman"/>
          <w:color w:val="000000"/>
          <w:szCs w:val="22"/>
          <w:lang w:eastAsia="en-US"/>
        </w:rPr>
        <w:t>mm.</w:t>
      </w:r>
      <w:proofErr w:type="spellEnd"/>
    </w:p>
    <w:p w14:paraId="66B38375"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0FC701E3"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5.2.</w:t>
      </w:r>
      <w:r w:rsidRPr="00A27653">
        <w:rPr>
          <w:rFonts w:ascii="Times New Roman" w:eastAsia="Calibri" w:hAnsi="Times New Roman"/>
          <w:color w:val="000000"/>
          <w:szCs w:val="22"/>
          <w:lang w:eastAsia="en-US"/>
        </w:rPr>
        <w:tab/>
        <w:t>LEVANTADO DE MUROS</w:t>
      </w:r>
    </w:p>
    <w:p w14:paraId="60A027E5"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 xml:space="preserve">Se deberán trazar los muros conforme las cotas indicadas en los planos, localizando columnas, refuerzos, aberturas para puertas y ventanas. Cada unidad debe colocarse con la ayuda de la plomada que se pueda </w:t>
      </w:r>
      <w:r w:rsidRPr="00A27653">
        <w:rPr>
          <w:rFonts w:ascii="Times New Roman" w:eastAsia="Calibri" w:hAnsi="Times New Roman"/>
          <w:color w:val="000000"/>
          <w:szCs w:val="22"/>
          <w:lang w:eastAsia="en-US"/>
        </w:rPr>
        <w:lastRenderedPageBreak/>
        <w:t>manejar y extender fácilmente en las superficies de las uniones. Los planos fueron diseñados para la colocación de unidades enteras o mitades de block, no permitiéndose cortar ni insertar pedazos con medidas irregulares.</w:t>
      </w:r>
    </w:p>
    <w:p w14:paraId="7B277280"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3360916F"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Antes de su colocación, los blocks se deberán mojar con el objeto de disminuir los efectos de contracción o expansión. El mortero se debe preparar en cantidades necesarias para su uso inmediato, siento 30 minutos el máximo de tiempo para emplearlo y en ningún caso se debe permitir el retemple de mortero. El mortero al ser colocado, deberá repartirse de tal manera que, al asentar el block, la sisa resulte homogénea y de espesor uniforme.</w:t>
      </w:r>
    </w:p>
    <w:p w14:paraId="1AB82FC2"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270CF68D"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Las hiladas de block deberán ser construidas horizontalmente entrelazadas. Las juntas verticales deberán construirse a plomo y las horizontales a nivel. Debe tenerse cuidado de que las sisas coincidan en las paredes que se interceptan. La unidad de medida será el metro cuadrado.</w:t>
      </w:r>
    </w:p>
    <w:p w14:paraId="375B473B"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43C86B44"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5.3.</w:t>
      </w:r>
      <w:r w:rsidRPr="00A27653">
        <w:rPr>
          <w:rFonts w:ascii="Times New Roman" w:eastAsia="Calibri" w:hAnsi="Times New Roman"/>
          <w:color w:val="000000"/>
          <w:szCs w:val="22"/>
          <w:lang w:eastAsia="en-US"/>
        </w:rPr>
        <w:tab/>
        <w:t>PINES</w:t>
      </w:r>
    </w:p>
    <w:p w14:paraId="7AC7D875" w14:textId="661A6FAA"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 xml:space="preserve">Cuando en los planos se indiquen refuerzos verticales interiores, denominados pines, en las paredes levantadas con block, tales refuerzos se harán colocando las varillas de acero en los agujeros del block. Las varillas de refuerzo vertical serán </w:t>
      </w:r>
      <w:r w:rsidR="00C173FB" w:rsidRPr="00A27653">
        <w:rPr>
          <w:rFonts w:ascii="Times New Roman" w:eastAsia="Calibri" w:hAnsi="Times New Roman"/>
          <w:color w:val="000000"/>
          <w:szCs w:val="22"/>
          <w:lang w:eastAsia="en-US"/>
        </w:rPr>
        <w:t>de diámetro</w:t>
      </w:r>
      <w:r w:rsidRPr="00A27653">
        <w:rPr>
          <w:rFonts w:ascii="Times New Roman" w:eastAsia="Calibri" w:hAnsi="Times New Roman"/>
          <w:color w:val="000000"/>
          <w:szCs w:val="22"/>
          <w:lang w:eastAsia="en-US"/>
        </w:rPr>
        <w:t xml:space="preserve"> indicado en el plano y deberán estar espaciadas según lo que se indique en los mismos planos. Deberán anclarse desde el elemento estructural que indique el plano. La unidad de medida será metro lineal.</w:t>
      </w:r>
    </w:p>
    <w:p w14:paraId="5FC7E8A7"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6AF0487F" w14:textId="56D987E9"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 xml:space="preserve">Se deberán rellenar las celdas con </w:t>
      </w:r>
      <w:proofErr w:type="spellStart"/>
      <w:r w:rsidRPr="00A27653">
        <w:rPr>
          <w:rFonts w:ascii="Times New Roman" w:eastAsia="Calibri" w:hAnsi="Times New Roman"/>
          <w:color w:val="000000"/>
          <w:szCs w:val="22"/>
          <w:lang w:eastAsia="en-US"/>
        </w:rPr>
        <w:t>grout</w:t>
      </w:r>
      <w:proofErr w:type="spellEnd"/>
      <w:r w:rsidRPr="00A27653">
        <w:rPr>
          <w:rFonts w:ascii="Times New Roman" w:eastAsia="Calibri" w:hAnsi="Times New Roman"/>
          <w:color w:val="000000"/>
          <w:szCs w:val="22"/>
          <w:lang w:eastAsia="en-US"/>
        </w:rPr>
        <w:t>, la proporción pro el volumen para esta mezcla deberá ser 1 parte de cemento, 2.5 a 3 partes de arena y de 1 a 2 partes de</w:t>
      </w:r>
      <w:r w:rsidR="00D37638">
        <w:rPr>
          <w:rFonts w:ascii="Times New Roman" w:eastAsia="Calibri" w:hAnsi="Times New Roman"/>
          <w:color w:val="000000"/>
          <w:szCs w:val="22"/>
          <w:lang w:eastAsia="en-US"/>
        </w:rPr>
        <w:t xml:space="preserve"> </w:t>
      </w:r>
      <w:r w:rsidRPr="00A27653">
        <w:rPr>
          <w:rFonts w:ascii="Times New Roman" w:eastAsia="Calibri" w:hAnsi="Times New Roman"/>
          <w:color w:val="000000"/>
          <w:szCs w:val="22"/>
          <w:lang w:eastAsia="en-US"/>
        </w:rPr>
        <w:t xml:space="preserve">grava fina, no mayor a ¼”. Se tendrá especial cuidado ates de fundir las celdas, en la revisión para que dentro de las celdas no exista ningún objeto que impida el relleno integral de la sección completa de la celda, no se aceptarán ratoneras </w:t>
      </w:r>
      <w:r w:rsidR="00C173FB" w:rsidRPr="00A27653">
        <w:rPr>
          <w:rFonts w:ascii="Times New Roman" w:eastAsia="Calibri" w:hAnsi="Times New Roman"/>
          <w:color w:val="000000"/>
          <w:szCs w:val="22"/>
          <w:lang w:eastAsia="en-US"/>
        </w:rPr>
        <w:t>dentro de</w:t>
      </w:r>
      <w:r w:rsidRPr="00A27653">
        <w:rPr>
          <w:rFonts w:ascii="Times New Roman" w:eastAsia="Calibri" w:hAnsi="Times New Roman"/>
          <w:color w:val="000000"/>
          <w:szCs w:val="22"/>
          <w:lang w:eastAsia="en-US"/>
        </w:rPr>
        <w:t xml:space="preserve"> las celdas de la mampostería reforzada.</w:t>
      </w:r>
    </w:p>
    <w:p w14:paraId="1F1A3237"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4B05280B"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5.4.</w:t>
      </w:r>
      <w:r w:rsidRPr="00A27653">
        <w:rPr>
          <w:rFonts w:ascii="Times New Roman" w:eastAsia="Calibri" w:hAnsi="Times New Roman"/>
          <w:color w:val="000000"/>
          <w:szCs w:val="22"/>
          <w:lang w:eastAsia="en-US"/>
        </w:rPr>
        <w:tab/>
        <w:t>JUNTAS DE DILATACIÓN</w:t>
      </w:r>
    </w:p>
    <w:p w14:paraId="1FDE1374"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Si los muros paralelos se levantan simultáneamente, deberá de irse colocando el poliestireno (</w:t>
      </w:r>
      <w:proofErr w:type="spellStart"/>
      <w:r w:rsidRPr="00A27653">
        <w:rPr>
          <w:rFonts w:ascii="Times New Roman" w:eastAsia="Calibri" w:hAnsi="Times New Roman"/>
          <w:color w:val="000000"/>
          <w:szCs w:val="22"/>
          <w:lang w:eastAsia="en-US"/>
        </w:rPr>
        <w:t>duroport</w:t>
      </w:r>
      <w:proofErr w:type="spellEnd"/>
      <w:r w:rsidRPr="00A27653">
        <w:rPr>
          <w:rFonts w:ascii="Times New Roman" w:eastAsia="Calibri" w:hAnsi="Times New Roman"/>
          <w:color w:val="000000"/>
          <w:szCs w:val="22"/>
          <w:lang w:eastAsia="en-US"/>
        </w:rPr>
        <w:t xml:space="preserve">), en las juntas indicadas en planos, previa colocación de cada block con el objetivo de que el polietileno quede confinado entre los dos elementos a separar. No debe dejarse ningún área de los muros paralelos sin polietileno previendo movimientos sísmicos. En juntas de dilatación de 1 cm se colocará </w:t>
      </w:r>
      <w:proofErr w:type="spellStart"/>
      <w:r w:rsidRPr="00A27653">
        <w:rPr>
          <w:rFonts w:ascii="Times New Roman" w:eastAsia="Calibri" w:hAnsi="Times New Roman"/>
          <w:color w:val="000000"/>
          <w:szCs w:val="22"/>
          <w:lang w:eastAsia="en-US"/>
        </w:rPr>
        <w:t>duroport</w:t>
      </w:r>
      <w:proofErr w:type="spellEnd"/>
      <w:r w:rsidRPr="00A27653">
        <w:rPr>
          <w:rFonts w:ascii="Times New Roman" w:eastAsia="Calibri" w:hAnsi="Times New Roman"/>
          <w:color w:val="000000"/>
          <w:szCs w:val="22"/>
          <w:lang w:eastAsia="en-US"/>
        </w:rPr>
        <w:t xml:space="preserve"> en el espacio al momento de hacer el levantado de block y al final se dejarán sin recubrimiento, mayores a 1 cm se colocará </w:t>
      </w:r>
      <w:proofErr w:type="spellStart"/>
      <w:r w:rsidRPr="00A27653">
        <w:rPr>
          <w:rFonts w:ascii="Times New Roman" w:eastAsia="Calibri" w:hAnsi="Times New Roman"/>
          <w:color w:val="000000"/>
          <w:szCs w:val="22"/>
          <w:lang w:eastAsia="en-US"/>
        </w:rPr>
        <w:t>duroport</w:t>
      </w:r>
      <w:proofErr w:type="spellEnd"/>
      <w:r w:rsidRPr="00A27653">
        <w:rPr>
          <w:rFonts w:ascii="Times New Roman" w:eastAsia="Calibri" w:hAnsi="Times New Roman"/>
          <w:color w:val="000000"/>
          <w:szCs w:val="22"/>
          <w:lang w:eastAsia="en-US"/>
        </w:rPr>
        <w:t xml:space="preserve"> y un material </w:t>
      </w:r>
      <w:proofErr w:type="spellStart"/>
      <w:r w:rsidRPr="00A27653">
        <w:rPr>
          <w:rFonts w:ascii="Times New Roman" w:eastAsia="Calibri" w:hAnsi="Times New Roman"/>
          <w:color w:val="000000"/>
          <w:szCs w:val="22"/>
          <w:lang w:eastAsia="en-US"/>
        </w:rPr>
        <w:t>elastomérico</w:t>
      </w:r>
      <w:proofErr w:type="spellEnd"/>
      <w:r w:rsidRPr="00A27653">
        <w:rPr>
          <w:rFonts w:ascii="Times New Roman" w:eastAsia="Calibri" w:hAnsi="Times New Roman"/>
          <w:color w:val="000000"/>
          <w:szCs w:val="22"/>
          <w:lang w:eastAsia="en-US"/>
        </w:rPr>
        <w:t xml:space="preserve"> para sellar la junta.</w:t>
      </w:r>
    </w:p>
    <w:p w14:paraId="259CFA5F"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123DCEF4"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5.5.</w:t>
      </w:r>
      <w:r w:rsidRPr="00A27653">
        <w:rPr>
          <w:rFonts w:ascii="Times New Roman" w:eastAsia="Calibri" w:hAnsi="Times New Roman"/>
          <w:color w:val="000000"/>
          <w:szCs w:val="22"/>
          <w:lang w:eastAsia="en-US"/>
        </w:rPr>
        <w:tab/>
        <w:t>RECOMENDACIONES ESPECIALES</w:t>
      </w:r>
    </w:p>
    <w:p w14:paraId="68392235"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Inmediatamente después de la colocación de la mampostería, todas las superficies visibles de los bloques se deben limpiar de las manchas de mortero y se deben mantener limpias hasta que la obra esté terminada.</w:t>
      </w:r>
    </w:p>
    <w:p w14:paraId="72E2349A"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6B08E09E"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No se debe aplicar ninguna carga exterior sobre o contra una estructura terminada, por lo menos durante 14 días, después de haber terminado el trabajo. Las superficies de las estructuras no se deben repellar, si los planos no indican.</w:t>
      </w:r>
    </w:p>
    <w:p w14:paraId="4E9E0429"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1F126EFD"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Cuando se indique muro visto en planos. La sisa deberá tener un centímetro de espesor y estarán metidas medio centímetro, se redondeará utilizando para el efecto una varilla lisa de 3/8”, en ambas caras.</w:t>
      </w:r>
    </w:p>
    <w:p w14:paraId="2138AE70"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1688BFF4"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Una vez terminado el levantado, el block expuesto deberá limpiarse con un cepillo duro para eliminar rebabas de mortero, polvo o cualquier material extraño que se haya adherido</w:t>
      </w:r>
    </w:p>
    <w:p w14:paraId="1738AF23"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74A38DBB"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En los muros de block se aceptarán las siguientes tolerancias:</w:t>
      </w:r>
    </w:p>
    <w:p w14:paraId="41812BBB"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El alineamiento horizontal de los muros en la base, no deberá diferir del alineamiento teórico del proyecto en más de un centímetro.</w:t>
      </w:r>
    </w:p>
    <w:p w14:paraId="137774E3"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lastRenderedPageBreak/>
        <w:t>•</w:t>
      </w:r>
      <w:r w:rsidRPr="00A27653">
        <w:rPr>
          <w:rFonts w:ascii="Times New Roman" w:eastAsia="Calibri" w:hAnsi="Times New Roman"/>
          <w:color w:val="000000"/>
          <w:szCs w:val="22"/>
          <w:lang w:eastAsia="en-US"/>
        </w:rPr>
        <w:tab/>
        <w:t>No se tolerarán desplomes mayores a 1/300 de la altura del muro. Para alturas mayores de seis (6) metros, el desplome máximo permisible será de dos (2) centímetros.</w:t>
      </w:r>
    </w:p>
    <w:p w14:paraId="68CBD4AC"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No se permitirán desplazamientos relativos entre blocks en el rostro del muro, mayores de dos (2) milímetros.</w:t>
      </w:r>
    </w:p>
    <w:p w14:paraId="6EAAAAC4"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24660AB4"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La tolerancia máxima en las sisas será de dos (2) milímetros.</w:t>
      </w:r>
    </w:p>
    <w:p w14:paraId="79B56BA3"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3FEF3AA9"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6.</w:t>
      </w:r>
      <w:r w:rsidRPr="00A27653">
        <w:rPr>
          <w:rFonts w:ascii="Times New Roman" w:eastAsia="Calibri" w:hAnsi="Times New Roman"/>
          <w:color w:val="000000"/>
          <w:szCs w:val="22"/>
          <w:lang w:eastAsia="en-US"/>
        </w:rPr>
        <w:tab/>
        <w:t>CUBIERTA</w:t>
      </w:r>
    </w:p>
    <w:p w14:paraId="4901FD02" w14:textId="252B0E8A"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 xml:space="preserve">La cubierta en general comprende toda la estructura metálica portante de techo, anclajes y elementos de refuerzo y arriostramiento, además el tipo de elemento que servirá de cubierta el cual se describe en el ítem siguiente. Por cuestiones de confort, se incluyó colocar un aislante térmico reflectivo, con un grosor mínimo de 5 mm </w:t>
      </w:r>
      <w:r w:rsidR="0001650F" w:rsidRPr="00A27653">
        <w:rPr>
          <w:rFonts w:ascii="Times New Roman" w:eastAsia="Calibri" w:hAnsi="Times New Roman"/>
          <w:color w:val="000000"/>
          <w:szCs w:val="22"/>
          <w:lang w:eastAsia="en-US"/>
        </w:rPr>
        <w:t>entre la</w:t>
      </w:r>
      <w:r w:rsidRPr="00A27653">
        <w:rPr>
          <w:rFonts w:ascii="Times New Roman" w:eastAsia="Calibri" w:hAnsi="Times New Roman"/>
          <w:color w:val="000000"/>
          <w:szCs w:val="22"/>
          <w:lang w:eastAsia="en-US"/>
        </w:rPr>
        <w:t xml:space="preserve"> estructura de cubierta y la lámina como se indica en los planos. La medida de</w:t>
      </w:r>
      <w:r w:rsidR="00D37638">
        <w:rPr>
          <w:rFonts w:ascii="Times New Roman" w:eastAsia="Calibri" w:hAnsi="Times New Roman"/>
          <w:color w:val="000000"/>
          <w:szCs w:val="22"/>
          <w:lang w:eastAsia="en-US"/>
        </w:rPr>
        <w:t xml:space="preserve"> </w:t>
      </w:r>
      <w:r w:rsidRPr="00A27653">
        <w:rPr>
          <w:rFonts w:ascii="Times New Roman" w:eastAsia="Calibri" w:hAnsi="Times New Roman"/>
          <w:color w:val="000000"/>
          <w:szCs w:val="22"/>
          <w:lang w:eastAsia="en-US"/>
        </w:rPr>
        <w:t>cuantificación y medición es metros cuadrados.</w:t>
      </w:r>
    </w:p>
    <w:p w14:paraId="6C5405F9"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6E760FE6"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6.1.</w:t>
      </w:r>
      <w:r w:rsidRPr="00A27653">
        <w:rPr>
          <w:rFonts w:ascii="Times New Roman" w:eastAsia="Calibri" w:hAnsi="Times New Roman"/>
          <w:color w:val="000000"/>
          <w:szCs w:val="22"/>
          <w:lang w:eastAsia="en-US"/>
        </w:rPr>
        <w:tab/>
        <w:t>TECHO DE LÁMINA</w:t>
      </w:r>
    </w:p>
    <w:p w14:paraId="424CE0DE"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6.1.1.</w:t>
      </w:r>
      <w:r w:rsidRPr="00A27653">
        <w:rPr>
          <w:rFonts w:ascii="Times New Roman" w:eastAsia="Calibri" w:hAnsi="Times New Roman"/>
          <w:color w:val="000000"/>
          <w:szCs w:val="22"/>
          <w:lang w:eastAsia="en-US"/>
        </w:rPr>
        <w:tab/>
        <w:t>LAMINA</w:t>
      </w:r>
    </w:p>
    <w:p w14:paraId="1A5B774C"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Las láminas deberán tener las características y requisitos que se indican en las normas NTG 36013, ASTM A 653 y A 792, así como la dirección y pendiente de montaje, indicadas en planos, será tipo troquelada, calibre 26 legitimo, pintada al horno, color blanco en ambos lados.</w:t>
      </w:r>
    </w:p>
    <w:p w14:paraId="41FC5F7F" w14:textId="6E81213C"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 xml:space="preserve">Se instalará </w:t>
      </w:r>
      <w:r w:rsidR="00D37638" w:rsidRPr="00A27653">
        <w:rPr>
          <w:rFonts w:ascii="Times New Roman" w:eastAsia="Calibri" w:hAnsi="Times New Roman"/>
          <w:color w:val="000000"/>
          <w:szCs w:val="22"/>
          <w:lang w:eastAsia="en-US"/>
        </w:rPr>
        <w:t>de acuerdo con</w:t>
      </w:r>
      <w:r w:rsidRPr="00A27653">
        <w:rPr>
          <w:rFonts w:ascii="Times New Roman" w:eastAsia="Calibri" w:hAnsi="Times New Roman"/>
          <w:color w:val="000000"/>
          <w:szCs w:val="22"/>
          <w:lang w:eastAsia="en-US"/>
        </w:rPr>
        <w:t xml:space="preserve"> lo indicado en planos y a las especificaciones del fabricante, por lo que es responsabilidad del Contratista adquirir toda la información pertinente a los accesorios necesarios y el procedimiento de montaje de dicho material, directamente del fabricante. Esta información, a su vez, deberá ser entregada al Supervisor para su aprobación antes de iniciar el montaje.</w:t>
      </w:r>
    </w:p>
    <w:p w14:paraId="09E87085"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En zonas de mucho viento se deberá colocar fijación adicional en traslapes horizontales y costaneras intermedias.</w:t>
      </w:r>
    </w:p>
    <w:p w14:paraId="35314894"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3EBA1A53"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6.1.2.</w:t>
      </w:r>
      <w:r w:rsidRPr="00A27653">
        <w:rPr>
          <w:rFonts w:ascii="Times New Roman" w:eastAsia="Calibri" w:hAnsi="Times New Roman"/>
          <w:color w:val="000000"/>
          <w:szCs w:val="22"/>
          <w:lang w:eastAsia="en-US"/>
        </w:rPr>
        <w:tab/>
        <w:t>CAPOTE/CABALLETE PARA LÁMINA TROQUELADA</w:t>
      </w:r>
    </w:p>
    <w:p w14:paraId="0490C3B7"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Este deberá tener características recomendadas por el mismo fabricante de la lámina del techo y se deberá instalar de acuerdo a las especificaciones del fabricante.</w:t>
      </w:r>
    </w:p>
    <w:p w14:paraId="40B0E3A0"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Se instalará de acuerdo a las especificaciones del fabricante, por lo que es responsabilidad del Contratista adquirir toda la información pertinente a los accesorios necesarios y el procedimiento de montaje de dicho material, directamente del fabricante. Esta información, a su vez, deberá ser entregada al Supervisor para su aprobación antes de iniciar el montaje.</w:t>
      </w:r>
    </w:p>
    <w:p w14:paraId="5D19480A"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2DED9C73"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0F97A213"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6.2.</w:t>
      </w:r>
      <w:r w:rsidRPr="00A27653">
        <w:rPr>
          <w:rFonts w:ascii="Times New Roman" w:eastAsia="Calibri" w:hAnsi="Times New Roman"/>
          <w:color w:val="000000"/>
          <w:szCs w:val="22"/>
          <w:lang w:eastAsia="en-US"/>
        </w:rPr>
        <w:tab/>
        <w:t>ESTRUCTURA PORTANTE PRINCIPAL</w:t>
      </w:r>
    </w:p>
    <w:p w14:paraId="47317284"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6.2.1.</w:t>
      </w:r>
      <w:r w:rsidRPr="00A27653">
        <w:rPr>
          <w:rFonts w:ascii="Times New Roman" w:eastAsia="Calibri" w:hAnsi="Times New Roman"/>
          <w:color w:val="000000"/>
          <w:szCs w:val="22"/>
          <w:lang w:eastAsia="en-US"/>
        </w:rPr>
        <w:tab/>
        <w:t>RESISTENCIA DEL ACERO</w:t>
      </w:r>
    </w:p>
    <w:p w14:paraId="4F0313F5"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En el diseño de las diferentes piezas de acero, se establecen las resistencias en planos, para la estructura principal se utiliza un acero grado A500B 50ksi, y para el resto de elementos debe cumplir la norma A36. Deberá cumplir con la norma SAE 1010, A 37-24ES. Para la fijación de las platinas a las costaneras se utilizarán tornillos ASTM A325 de diámetro y de longitud indicada en planos.</w:t>
      </w:r>
    </w:p>
    <w:p w14:paraId="44218E52"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6.2.2.</w:t>
      </w:r>
      <w:r w:rsidRPr="00A27653">
        <w:rPr>
          <w:rFonts w:ascii="Times New Roman" w:eastAsia="Calibri" w:hAnsi="Times New Roman"/>
          <w:color w:val="000000"/>
          <w:szCs w:val="22"/>
          <w:lang w:eastAsia="en-US"/>
        </w:rPr>
        <w:tab/>
        <w:t>CORTES DE PIEZAS</w:t>
      </w:r>
    </w:p>
    <w:p w14:paraId="565DC457"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Los cortes se harán con cizalla o sierra. Cuando el Supervisor autorice hacer cortes con soplete, estos deberán ser guiados automáticamente. No se permitirá el uso de soplete en piezas que deban transmitir cargas por contacto directo.</w:t>
      </w:r>
    </w:p>
    <w:p w14:paraId="664234AA"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6.2.3.</w:t>
      </w:r>
      <w:r w:rsidRPr="00A27653">
        <w:rPr>
          <w:rFonts w:ascii="Times New Roman" w:eastAsia="Calibri" w:hAnsi="Times New Roman"/>
          <w:color w:val="000000"/>
          <w:szCs w:val="22"/>
          <w:lang w:eastAsia="en-US"/>
        </w:rPr>
        <w:tab/>
        <w:t>ENDEREZADO Y LIMPIEZA</w:t>
      </w:r>
    </w:p>
    <w:p w14:paraId="14EB4FA7" w14:textId="4C77F2F0"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 xml:space="preserve">Todo el material que se utilice para la fabricación de estructuras de acero debe </w:t>
      </w:r>
      <w:r w:rsidR="0001650F" w:rsidRPr="00A27653">
        <w:rPr>
          <w:rFonts w:ascii="Times New Roman" w:eastAsia="Calibri" w:hAnsi="Times New Roman"/>
          <w:color w:val="000000"/>
          <w:szCs w:val="22"/>
          <w:lang w:eastAsia="en-US"/>
        </w:rPr>
        <w:t>estar limpio</w:t>
      </w:r>
      <w:r w:rsidRPr="00A27653">
        <w:rPr>
          <w:rFonts w:ascii="Times New Roman" w:eastAsia="Calibri" w:hAnsi="Times New Roman"/>
          <w:color w:val="000000"/>
          <w:szCs w:val="22"/>
          <w:lang w:eastAsia="en-US"/>
        </w:rPr>
        <w:t xml:space="preserve"> y previamente enderezado, utilizando para el efecto, métodos que no resulten perjudiciales a las propiedades del material. En ningún caso se hará el enderezado con base de calor</w:t>
      </w:r>
    </w:p>
    <w:p w14:paraId="225B70BE"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6.2.4.</w:t>
      </w:r>
      <w:r w:rsidRPr="00A27653">
        <w:rPr>
          <w:rFonts w:ascii="Times New Roman" w:eastAsia="Calibri" w:hAnsi="Times New Roman"/>
          <w:color w:val="000000"/>
          <w:szCs w:val="22"/>
          <w:lang w:eastAsia="en-US"/>
        </w:rPr>
        <w:tab/>
        <w:t>SOLDADURA</w:t>
      </w:r>
    </w:p>
    <w:p w14:paraId="2900EFE8"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 xml:space="preserve"> </w:t>
      </w:r>
    </w:p>
    <w:p w14:paraId="24006AAE"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3F094F0E"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lastRenderedPageBreak/>
        <w:t>El equipo que se utilice para soldar deberá ser de un diseño y fabricación tal, que permitan a operadores calificados cumplir con las exigencias de estas especificaciones. La soldadura se hará con arco eléctrico metálico, los electrodos y metal de aporte a usar serán E60XX o E70XX. Para trabajos de soldadura, se deberá cumplir con las especificaciones ASW 5.1 y 5.5. Las superficies a soldar estarán libres de costras, escoria, grasa, pintura y otras partículas extrañas, tales como rebabas o gotas de soldadura.</w:t>
      </w:r>
    </w:p>
    <w:p w14:paraId="632AAE9D"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La soldadura deberá ser compactada en su totalidad y fusionarse completamente con el material base. Los agujeros y defectos similares, deberán llenarse hasta completar la sección. Se permitirá una separación máxima de dos mm, entre dos piezas, entre las cuales exista una soldadura filete.</w:t>
      </w:r>
    </w:p>
    <w:p w14:paraId="7779B7C4"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6.2.5.</w:t>
      </w:r>
      <w:r w:rsidRPr="00A27653">
        <w:rPr>
          <w:rFonts w:ascii="Times New Roman" w:eastAsia="Calibri" w:hAnsi="Times New Roman"/>
          <w:color w:val="000000"/>
          <w:szCs w:val="22"/>
          <w:lang w:eastAsia="en-US"/>
        </w:rPr>
        <w:tab/>
        <w:t>TEMPERATURA EN LA SOLDADURA</w:t>
      </w:r>
    </w:p>
    <w:p w14:paraId="138BC847"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No se permitirá ningún trabajo de soldadura cuando la temperatura de metal sea inferior a 18 grados centígrados. Cuando las temperaturas varíen entre 14 y 18 grados centígrados, antes de iniciar la soldadura, se calentarán los bordes por soldar hasta una distancia de aproximadamente 0.10 metros a partir de la línea de soldadura.</w:t>
      </w:r>
    </w:p>
    <w:p w14:paraId="748EF8D2"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6.2.6.</w:t>
      </w:r>
      <w:r w:rsidRPr="00A27653">
        <w:rPr>
          <w:rFonts w:ascii="Times New Roman" w:eastAsia="Calibri" w:hAnsi="Times New Roman"/>
          <w:color w:val="000000"/>
          <w:szCs w:val="22"/>
          <w:lang w:eastAsia="en-US"/>
        </w:rPr>
        <w:tab/>
        <w:t>AGUJEROS.</w:t>
      </w:r>
    </w:p>
    <w:p w14:paraId="2BEC96DD"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Los agujeros para pernos se harán 1/16” pulgadas más grandes que el diámetro nominal del perno. En las platinas donde se indique un agujero corrido, el desfase no deberá exceder de ¼”, mismo que deberá ser inspeccionado por el Supervisor. En las uniones atornilladas se usarán roldanas para ampliar el área de contacto.</w:t>
      </w:r>
    </w:p>
    <w:p w14:paraId="2E645874"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La longitud del tornillo deberá permitir que la longitud roscada sobresalga ¼” de pulgada en la tuerca una vez colocada. En todas las uniones atornilladas se usarán pernos ASTM A 307, a menos que se indique otro en los planos.</w:t>
      </w:r>
    </w:p>
    <w:p w14:paraId="5AA22E82"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6.2.7.</w:t>
      </w:r>
      <w:r w:rsidRPr="00A27653">
        <w:rPr>
          <w:rFonts w:ascii="Times New Roman" w:eastAsia="Calibri" w:hAnsi="Times New Roman"/>
          <w:color w:val="000000"/>
          <w:szCs w:val="22"/>
          <w:lang w:eastAsia="en-US"/>
        </w:rPr>
        <w:tab/>
        <w:t>TOLERANCIAS</w:t>
      </w:r>
    </w:p>
    <w:p w14:paraId="1ADF1F4C"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Las piezas acabadas en el taller, deben quedar alineadas, sin torceduras ni dobleces locales y sus uniones quedar adecuadamente terminadas y deberán ser aceptadas por el Supervisor antes del montaje en la obra.</w:t>
      </w:r>
    </w:p>
    <w:p w14:paraId="7CC079ED"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6.2.8.</w:t>
      </w:r>
      <w:r w:rsidRPr="00A27653">
        <w:rPr>
          <w:rFonts w:ascii="Times New Roman" w:eastAsia="Calibri" w:hAnsi="Times New Roman"/>
          <w:color w:val="000000"/>
          <w:szCs w:val="22"/>
          <w:lang w:eastAsia="en-US"/>
        </w:rPr>
        <w:tab/>
        <w:t>MONTAJE</w:t>
      </w:r>
    </w:p>
    <w:p w14:paraId="7F1278B2"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Para el montaje de las estructuras de acero deberá usarse equipo apropiado, procedimientos que ofrezcan la más completa seguridad y mano de obra especializada.</w:t>
      </w:r>
    </w:p>
    <w:p w14:paraId="02AD51C2"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Durante el transporte y montaje se adoptarán las precauciones pertinentes para no producir esfuerzos excesivos. En caso de torceduras por el manipuleo inadecuado, las piezas deberán enderezarse antes de montarse. Deberá verificarse la horizontalidad, la alineación de las vigas y costaneras, antes de efectuarse las uniones definitivas.</w:t>
      </w:r>
    </w:p>
    <w:p w14:paraId="4E263427"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Se considerarán en condiciones adecuadas los elementos con errores de alineación o verticalidad no mayor de 1/500. En ningún caso se aceptarán faltas de alineación que impidan el funcionamiento correcto de las uniones.</w:t>
      </w:r>
    </w:p>
    <w:p w14:paraId="2AAB8A3F"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 xml:space="preserve"> </w:t>
      </w:r>
    </w:p>
    <w:p w14:paraId="11E367B5"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5C0E55E8"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6.2.9.</w:t>
      </w:r>
      <w:r w:rsidRPr="00A27653">
        <w:rPr>
          <w:rFonts w:ascii="Times New Roman" w:eastAsia="Calibri" w:hAnsi="Times New Roman"/>
          <w:color w:val="000000"/>
          <w:szCs w:val="22"/>
          <w:lang w:eastAsia="en-US"/>
        </w:rPr>
        <w:tab/>
        <w:t>PINTURA</w:t>
      </w:r>
    </w:p>
    <w:p w14:paraId="2D02863D"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Una vez terminadas las piezas, se eliminarán todas las escamas, óxidos y escorias. Se aplicará uniformemente 2 capas de pintura anticorrosiva de diferente color (rojo y gris) y dos capas finales de pintura de aceite. Cuando se vaya a soldar en campo, se eliminará la pintura en una zona de 0.05 metros del área a soldar. Cualquier pieza metálica que sea cortada en obra, se le deberá aplicar una capa de pintura anticorrosiva en el área de corte que quede expuesto en la obra. Al finalizar el montaje de la estructura portante de cubierta se deberá realizar una inspección general para identificar áreas con golpes o raspaduras, las que deberán ser retocadas con pintura anticorrosiva antes de colocar la lámina.</w:t>
      </w:r>
    </w:p>
    <w:p w14:paraId="54E4ADA6"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6.2.10.</w:t>
      </w:r>
      <w:r w:rsidRPr="00A27653">
        <w:rPr>
          <w:rFonts w:ascii="Times New Roman" w:eastAsia="Calibri" w:hAnsi="Times New Roman"/>
          <w:color w:val="000000"/>
          <w:szCs w:val="22"/>
          <w:lang w:eastAsia="en-US"/>
        </w:rPr>
        <w:tab/>
        <w:t>INSPECCIÓN</w:t>
      </w:r>
    </w:p>
    <w:p w14:paraId="63E68AD3"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Las uniones soldadas serán inspeccionadas ocularmente y se rechazarán todas aquellas que presenten defectos aparentes de importancia, tales como grietas, cráteres o socavación del metal base. En los casos en que exista duda, se utilizará el tipo de ensayo no destructivo que, a juicio del Supervisor, sea el más adecuado.</w:t>
      </w:r>
    </w:p>
    <w:p w14:paraId="1E68B279"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El número de pruebas no destructivas de soldaduras de taller, deberá abarcar los diferentes tipos de soldadura de la estructura, para formarse una idea general de la calidad de los mismos. En las realizadas en campo, aumentará el número de pruebas.</w:t>
      </w:r>
    </w:p>
    <w:p w14:paraId="31937C10"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lastRenderedPageBreak/>
        <w:t>Cuando un veinticinco por ciento o más de las soldaduras ensayadas estén en malas condiciones, se ensayará la totalidad, para poder obtener la información necesaria para corregirlas.</w:t>
      </w:r>
    </w:p>
    <w:p w14:paraId="020B3CD2" w14:textId="77777777" w:rsid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No se instalará la lámina de techo hasta que la estructura portante sea aprobada por el Supervisor.</w:t>
      </w:r>
    </w:p>
    <w:p w14:paraId="042F8038" w14:textId="77777777" w:rsidR="00D37638" w:rsidRPr="00A27653" w:rsidRDefault="00D37638" w:rsidP="00A27653">
      <w:pPr>
        <w:autoSpaceDE w:val="0"/>
        <w:autoSpaceDN w:val="0"/>
        <w:adjustRightInd w:val="0"/>
        <w:jc w:val="both"/>
        <w:rPr>
          <w:rFonts w:ascii="Times New Roman" w:eastAsia="Calibri" w:hAnsi="Times New Roman"/>
          <w:color w:val="000000"/>
          <w:szCs w:val="22"/>
          <w:lang w:eastAsia="en-US"/>
        </w:rPr>
      </w:pPr>
    </w:p>
    <w:p w14:paraId="0428F0F3"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6.2.11.</w:t>
      </w:r>
      <w:r w:rsidRPr="00A27653">
        <w:rPr>
          <w:rFonts w:ascii="Times New Roman" w:eastAsia="Calibri" w:hAnsi="Times New Roman"/>
          <w:color w:val="000000"/>
          <w:szCs w:val="22"/>
          <w:lang w:eastAsia="en-US"/>
        </w:rPr>
        <w:tab/>
        <w:t>COSTANERAS</w:t>
      </w:r>
    </w:p>
    <w:p w14:paraId="31B057A6" w14:textId="77777777" w:rsid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 xml:space="preserve">Las costaneras serán perfil C legítimo, fabricado en frío con lámina con espesor de 1/16” (1.5 mm) de 20 pies (6.00 </w:t>
      </w:r>
      <w:proofErr w:type="spellStart"/>
      <w:r w:rsidRPr="00A27653">
        <w:rPr>
          <w:rFonts w:ascii="Times New Roman" w:eastAsia="Calibri" w:hAnsi="Times New Roman"/>
          <w:color w:val="000000"/>
          <w:szCs w:val="22"/>
          <w:lang w:eastAsia="en-US"/>
        </w:rPr>
        <w:t>mt</w:t>
      </w:r>
      <w:proofErr w:type="spellEnd"/>
      <w:r w:rsidRPr="00A27653">
        <w:rPr>
          <w:rFonts w:ascii="Times New Roman" w:eastAsia="Calibri" w:hAnsi="Times New Roman"/>
          <w:color w:val="000000"/>
          <w:szCs w:val="22"/>
          <w:lang w:eastAsia="en-US"/>
        </w:rPr>
        <w:t>.), con las medidas transversales indicadas en planos. Si se conforman dos tramos de costaneras para alcanzar la longitud total indicada en planos, se le deberá aplicar soldadura eléctrica de cordón corrido en toda la sección y durante el montaje de estas piezas conformadas, no se permitirá que coincidan en el mismo lugar los puntos de unión de los tramos de las costaneras.</w:t>
      </w:r>
    </w:p>
    <w:p w14:paraId="7BE0E92D" w14:textId="77777777" w:rsidR="00D37638" w:rsidRPr="00A27653" w:rsidRDefault="00D37638" w:rsidP="00A27653">
      <w:pPr>
        <w:autoSpaceDE w:val="0"/>
        <w:autoSpaceDN w:val="0"/>
        <w:adjustRightInd w:val="0"/>
        <w:jc w:val="both"/>
        <w:rPr>
          <w:rFonts w:ascii="Times New Roman" w:eastAsia="Calibri" w:hAnsi="Times New Roman"/>
          <w:color w:val="000000"/>
          <w:szCs w:val="22"/>
          <w:lang w:eastAsia="en-US"/>
        </w:rPr>
      </w:pPr>
    </w:p>
    <w:p w14:paraId="551F3CB5"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6.2.12.</w:t>
      </w:r>
      <w:r w:rsidRPr="00A27653">
        <w:rPr>
          <w:rFonts w:ascii="Times New Roman" w:eastAsia="Calibri" w:hAnsi="Times New Roman"/>
          <w:color w:val="000000"/>
          <w:szCs w:val="22"/>
          <w:lang w:eastAsia="en-US"/>
        </w:rPr>
        <w:tab/>
        <w:t>TENSORES</w:t>
      </w:r>
    </w:p>
    <w:p w14:paraId="2A68CC4D" w14:textId="77777777" w:rsid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 xml:space="preserve">Los tensores serán de hierro liso de diámetro indicado en los planos, de grado 40, deberá incluir tuerca, roldana y </w:t>
      </w:r>
      <w:proofErr w:type="spellStart"/>
      <w:r w:rsidRPr="00A27653">
        <w:rPr>
          <w:rFonts w:ascii="Times New Roman" w:eastAsia="Calibri" w:hAnsi="Times New Roman"/>
          <w:color w:val="000000"/>
          <w:szCs w:val="22"/>
          <w:lang w:eastAsia="en-US"/>
        </w:rPr>
        <w:t>washa</w:t>
      </w:r>
      <w:proofErr w:type="spellEnd"/>
      <w:r w:rsidRPr="00A27653">
        <w:rPr>
          <w:rFonts w:ascii="Times New Roman" w:eastAsia="Calibri" w:hAnsi="Times New Roman"/>
          <w:color w:val="000000"/>
          <w:szCs w:val="22"/>
          <w:lang w:eastAsia="en-US"/>
        </w:rPr>
        <w:t xml:space="preserve"> de presión, los mismos serán protegidos totalmente con dos manos de pintura anticorrosiva y una mano de esmalte azul, previo a la instalación de la cubierta.</w:t>
      </w:r>
    </w:p>
    <w:p w14:paraId="443F2404" w14:textId="77777777" w:rsidR="00D37638" w:rsidRPr="00A27653" w:rsidRDefault="00D37638" w:rsidP="00A27653">
      <w:pPr>
        <w:autoSpaceDE w:val="0"/>
        <w:autoSpaceDN w:val="0"/>
        <w:adjustRightInd w:val="0"/>
        <w:jc w:val="both"/>
        <w:rPr>
          <w:rFonts w:ascii="Times New Roman" w:eastAsia="Calibri" w:hAnsi="Times New Roman"/>
          <w:color w:val="000000"/>
          <w:szCs w:val="22"/>
          <w:lang w:eastAsia="en-US"/>
        </w:rPr>
      </w:pPr>
    </w:p>
    <w:p w14:paraId="11726E5B"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6.2.13.</w:t>
      </w:r>
      <w:r w:rsidRPr="00A27653">
        <w:rPr>
          <w:rFonts w:ascii="Times New Roman" w:eastAsia="Calibri" w:hAnsi="Times New Roman"/>
          <w:color w:val="000000"/>
          <w:szCs w:val="22"/>
          <w:lang w:eastAsia="en-US"/>
        </w:rPr>
        <w:tab/>
        <w:t>PLATINA ATORNILLADA DE ESTRUCTURA PRINCIPAL DE CONCRETO</w:t>
      </w:r>
    </w:p>
    <w:p w14:paraId="49D75289" w14:textId="4FC2121A"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Se debe fundir los pernos de sujeción junto con la solera de mojinete. No se</w:t>
      </w:r>
      <w:r w:rsidR="00D37638">
        <w:rPr>
          <w:rFonts w:ascii="Times New Roman" w:eastAsia="Calibri" w:hAnsi="Times New Roman"/>
          <w:color w:val="000000"/>
          <w:szCs w:val="22"/>
          <w:lang w:eastAsia="en-US"/>
        </w:rPr>
        <w:t xml:space="preserve"> </w:t>
      </w:r>
      <w:r w:rsidRPr="00A27653">
        <w:rPr>
          <w:rFonts w:ascii="Times New Roman" w:eastAsia="Calibri" w:hAnsi="Times New Roman"/>
          <w:color w:val="000000"/>
          <w:szCs w:val="22"/>
          <w:lang w:eastAsia="en-US"/>
        </w:rPr>
        <w:t>permitirá romper la fundición, para colocar los pernos, en todo caso el supervisor autorizará otra solución.</w:t>
      </w:r>
    </w:p>
    <w:p w14:paraId="6486235D"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09079F93"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6.2.14.</w:t>
      </w:r>
      <w:r w:rsidRPr="00A27653">
        <w:rPr>
          <w:rFonts w:ascii="Times New Roman" w:eastAsia="Calibri" w:hAnsi="Times New Roman"/>
          <w:color w:val="000000"/>
          <w:szCs w:val="22"/>
          <w:lang w:eastAsia="en-US"/>
        </w:rPr>
        <w:tab/>
        <w:t>PLATINA SOLDADADA A VIGA CENTRAL DE METAL</w:t>
      </w:r>
    </w:p>
    <w:p w14:paraId="04817664" w14:textId="77777777" w:rsid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Las platinas de sujeción para las costaneras deberán ser soldadas en el taller a la viga metálica central, de acuerdo a la modulación indicada en planos según indicaciones en estas especificaciones referentes a soldadura. Así mismo los pernos de espera para la platina de sujeción en la viga sobre las ventanas deberán ser soldados en el taller antes de conformar la viga doble “C” y deberán ser colocados de acuerdo a la modulación y dimensiones indicadas en planos. Las platinas deberán de ser en forma de L, ver detalle en planos. Unidas entre sí por soldadura de cordón o si la sección plana lo permite doblado en frío para formar la sección “L”.</w:t>
      </w:r>
    </w:p>
    <w:p w14:paraId="6C05BC3D" w14:textId="77777777" w:rsidR="00D37638" w:rsidRPr="00A27653" w:rsidRDefault="00D37638" w:rsidP="00A27653">
      <w:pPr>
        <w:autoSpaceDE w:val="0"/>
        <w:autoSpaceDN w:val="0"/>
        <w:adjustRightInd w:val="0"/>
        <w:jc w:val="both"/>
        <w:rPr>
          <w:rFonts w:ascii="Times New Roman" w:eastAsia="Calibri" w:hAnsi="Times New Roman"/>
          <w:color w:val="000000"/>
          <w:szCs w:val="22"/>
          <w:lang w:eastAsia="en-US"/>
        </w:rPr>
      </w:pPr>
    </w:p>
    <w:p w14:paraId="75A77F57" w14:textId="77777777" w:rsid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7.</w:t>
      </w:r>
      <w:r w:rsidRPr="00A27653">
        <w:rPr>
          <w:rFonts w:ascii="Times New Roman" w:eastAsia="Calibri" w:hAnsi="Times New Roman"/>
          <w:color w:val="000000"/>
          <w:szCs w:val="22"/>
          <w:lang w:eastAsia="en-US"/>
        </w:rPr>
        <w:tab/>
        <w:t>ACABADOS</w:t>
      </w:r>
    </w:p>
    <w:p w14:paraId="07E7DE48" w14:textId="77777777" w:rsidR="00D37638" w:rsidRPr="00A27653" w:rsidRDefault="00D37638" w:rsidP="00A27653">
      <w:pPr>
        <w:autoSpaceDE w:val="0"/>
        <w:autoSpaceDN w:val="0"/>
        <w:adjustRightInd w:val="0"/>
        <w:jc w:val="both"/>
        <w:rPr>
          <w:rFonts w:ascii="Times New Roman" w:eastAsia="Calibri" w:hAnsi="Times New Roman"/>
          <w:color w:val="000000"/>
          <w:szCs w:val="22"/>
          <w:lang w:eastAsia="en-US"/>
        </w:rPr>
      </w:pPr>
    </w:p>
    <w:p w14:paraId="35CD2278"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7.1.</w:t>
      </w:r>
      <w:r w:rsidRPr="00A27653">
        <w:rPr>
          <w:rFonts w:ascii="Times New Roman" w:eastAsia="Calibri" w:hAnsi="Times New Roman"/>
          <w:color w:val="000000"/>
          <w:szCs w:val="22"/>
          <w:lang w:eastAsia="en-US"/>
        </w:rPr>
        <w:tab/>
        <w:t>MURO DE BLOCK</w:t>
      </w:r>
    </w:p>
    <w:p w14:paraId="19B024CC" w14:textId="77777777" w:rsid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 xml:space="preserve">Block de concreto de resistencia de 50 kg. de 0.14 </w:t>
      </w:r>
      <w:proofErr w:type="spellStart"/>
      <w:r w:rsidRPr="00A27653">
        <w:rPr>
          <w:rFonts w:ascii="Times New Roman" w:eastAsia="Calibri" w:hAnsi="Times New Roman"/>
          <w:color w:val="000000"/>
          <w:szCs w:val="22"/>
          <w:lang w:eastAsia="en-US"/>
        </w:rPr>
        <w:t>mts</w:t>
      </w:r>
      <w:proofErr w:type="spellEnd"/>
      <w:r w:rsidRPr="00A27653">
        <w:rPr>
          <w:rFonts w:ascii="Times New Roman" w:eastAsia="Calibri" w:hAnsi="Times New Roman"/>
          <w:color w:val="000000"/>
          <w:szCs w:val="22"/>
          <w:lang w:eastAsia="en-US"/>
        </w:rPr>
        <w:t xml:space="preserve">. x 0.19 </w:t>
      </w:r>
      <w:proofErr w:type="spellStart"/>
      <w:r w:rsidRPr="00A27653">
        <w:rPr>
          <w:rFonts w:ascii="Times New Roman" w:eastAsia="Calibri" w:hAnsi="Times New Roman"/>
          <w:color w:val="000000"/>
          <w:szCs w:val="22"/>
          <w:lang w:eastAsia="en-US"/>
        </w:rPr>
        <w:t>mts</w:t>
      </w:r>
      <w:proofErr w:type="spellEnd"/>
      <w:r w:rsidRPr="00A27653">
        <w:rPr>
          <w:rFonts w:ascii="Times New Roman" w:eastAsia="Calibri" w:hAnsi="Times New Roman"/>
          <w:color w:val="000000"/>
          <w:szCs w:val="22"/>
          <w:lang w:eastAsia="en-US"/>
        </w:rPr>
        <w:t xml:space="preserve">. x 0.39 </w:t>
      </w:r>
      <w:proofErr w:type="spellStart"/>
      <w:r w:rsidRPr="00A27653">
        <w:rPr>
          <w:rFonts w:ascii="Times New Roman" w:eastAsia="Calibri" w:hAnsi="Times New Roman"/>
          <w:color w:val="000000"/>
          <w:szCs w:val="22"/>
          <w:lang w:eastAsia="en-US"/>
        </w:rPr>
        <w:t>mts</w:t>
      </w:r>
      <w:proofErr w:type="spellEnd"/>
      <w:r w:rsidRPr="00A27653">
        <w:rPr>
          <w:rFonts w:ascii="Times New Roman" w:eastAsia="Calibri" w:hAnsi="Times New Roman"/>
          <w:color w:val="000000"/>
          <w:szCs w:val="22"/>
          <w:lang w:eastAsia="en-US"/>
        </w:rPr>
        <w:t>.; colocado a soga reforzado según se indica en los planos respectivos.</w:t>
      </w:r>
    </w:p>
    <w:p w14:paraId="77201926" w14:textId="77777777" w:rsidR="00D37638" w:rsidRPr="00A27653" w:rsidRDefault="00D37638" w:rsidP="00A27653">
      <w:pPr>
        <w:autoSpaceDE w:val="0"/>
        <w:autoSpaceDN w:val="0"/>
        <w:adjustRightInd w:val="0"/>
        <w:jc w:val="both"/>
        <w:rPr>
          <w:rFonts w:ascii="Times New Roman" w:eastAsia="Calibri" w:hAnsi="Times New Roman"/>
          <w:color w:val="000000"/>
          <w:szCs w:val="22"/>
          <w:lang w:eastAsia="en-US"/>
        </w:rPr>
      </w:pPr>
    </w:p>
    <w:p w14:paraId="1580595D"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7.2.</w:t>
      </w:r>
      <w:r w:rsidRPr="00A27653">
        <w:rPr>
          <w:rFonts w:ascii="Times New Roman" w:eastAsia="Calibri" w:hAnsi="Times New Roman"/>
          <w:color w:val="000000"/>
          <w:szCs w:val="22"/>
          <w:lang w:eastAsia="en-US"/>
        </w:rPr>
        <w:tab/>
        <w:t>REPELLO GRIS</w:t>
      </w:r>
    </w:p>
    <w:p w14:paraId="77F1018D"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 xml:space="preserve">El contratista, antes de aplicar el repello, aplicará una (1) capa de </w:t>
      </w:r>
      <w:proofErr w:type="spellStart"/>
      <w:r w:rsidRPr="00A27653">
        <w:rPr>
          <w:rFonts w:ascii="Times New Roman" w:eastAsia="Calibri" w:hAnsi="Times New Roman"/>
          <w:color w:val="000000"/>
          <w:szCs w:val="22"/>
          <w:lang w:eastAsia="en-US"/>
        </w:rPr>
        <w:t>ensabietado</w:t>
      </w:r>
      <w:proofErr w:type="spellEnd"/>
      <w:r w:rsidRPr="00A27653">
        <w:rPr>
          <w:rFonts w:ascii="Times New Roman" w:eastAsia="Calibri" w:hAnsi="Times New Roman"/>
          <w:color w:val="000000"/>
          <w:szCs w:val="22"/>
          <w:lang w:eastAsia="en-US"/>
        </w:rPr>
        <w:t>. Posteriormente aplicará una (1) capa de repello.</w:t>
      </w:r>
    </w:p>
    <w:p w14:paraId="73D563F9"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Las superficies deberán estar limpias. Se humedecerán para asegurar la adherencia del repello.</w:t>
      </w:r>
    </w:p>
    <w:p w14:paraId="5C693B12" w14:textId="77777777" w:rsid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Se utilizará mortero con las siguientes proporciones: una (1) parte de cal hidratada, tres (3) partes de arena amarilla y una décima (1/10) parte de cemento “tipo Pórtland”. El supervisor podrá autorizar otro tipo de proporciones para el repello, siempre y cuando se garantice la adherencia y durabilidad del mismo.</w:t>
      </w:r>
    </w:p>
    <w:p w14:paraId="157FB0FF" w14:textId="77777777" w:rsidR="00D37638" w:rsidRPr="00A27653" w:rsidRDefault="00D37638" w:rsidP="00A27653">
      <w:pPr>
        <w:autoSpaceDE w:val="0"/>
        <w:autoSpaceDN w:val="0"/>
        <w:adjustRightInd w:val="0"/>
        <w:jc w:val="both"/>
        <w:rPr>
          <w:rFonts w:ascii="Times New Roman" w:eastAsia="Calibri" w:hAnsi="Times New Roman"/>
          <w:color w:val="000000"/>
          <w:szCs w:val="22"/>
          <w:lang w:eastAsia="en-US"/>
        </w:rPr>
      </w:pPr>
    </w:p>
    <w:p w14:paraId="4C0C05DE"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7.3.</w:t>
      </w:r>
      <w:r w:rsidRPr="00A27653">
        <w:rPr>
          <w:rFonts w:ascii="Times New Roman" w:eastAsia="Calibri" w:hAnsi="Times New Roman"/>
          <w:color w:val="000000"/>
          <w:szCs w:val="22"/>
          <w:lang w:eastAsia="en-US"/>
        </w:rPr>
        <w:tab/>
        <w:t>ACABADO BLANCO</w:t>
      </w:r>
    </w:p>
    <w:p w14:paraId="0449F7CF" w14:textId="77777777" w:rsid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 xml:space="preserve">Se colocará en los muros que el plano indique una capa de acabado </w:t>
      </w:r>
      <w:proofErr w:type="spellStart"/>
      <w:r w:rsidRPr="00A27653">
        <w:rPr>
          <w:rFonts w:ascii="Times New Roman" w:eastAsia="Calibri" w:hAnsi="Times New Roman"/>
          <w:color w:val="000000"/>
          <w:szCs w:val="22"/>
          <w:lang w:eastAsia="en-US"/>
        </w:rPr>
        <w:t>cementicio</w:t>
      </w:r>
      <w:proofErr w:type="spellEnd"/>
      <w:r w:rsidRPr="00A27653">
        <w:rPr>
          <w:rFonts w:ascii="Times New Roman" w:eastAsia="Calibri" w:hAnsi="Times New Roman"/>
          <w:color w:val="000000"/>
          <w:szCs w:val="22"/>
          <w:lang w:eastAsia="en-US"/>
        </w:rPr>
        <w:t xml:space="preserve"> blanco, alisada, con un espesor de cero puntos cero (0.05) metros.</w:t>
      </w:r>
    </w:p>
    <w:p w14:paraId="0226F495" w14:textId="77777777" w:rsidR="00D37638" w:rsidRPr="00A27653" w:rsidRDefault="00D37638" w:rsidP="00A27653">
      <w:pPr>
        <w:autoSpaceDE w:val="0"/>
        <w:autoSpaceDN w:val="0"/>
        <w:adjustRightInd w:val="0"/>
        <w:jc w:val="both"/>
        <w:rPr>
          <w:rFonts w:ascii="Times New Roman" w:eastAsia="Calibri" w:hAnsi="Times New Roman"/>
          <w:color w:val="000000"/>
          <w:szCs w:val="22"/>
          <w:lang w:eastAsia="en-US"/>
        </w:rPr>
      </w:pPr>
    </w:p>
    <w:p w14:paraId="24B471BB"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7.4.</w:t>
      </w:r>
      <w:r w:rsidRPr="00A27653">
        <w:rPr>
          <w:rFonts w:ascii="Times New Roman" w:eastAsia="Calibri" w:hAnsi="Times New Roman"/>
          <w:color w:val="000000"/>
          <w:szCs w:val="22"/>
          <w:lang w:eastAsia="en-US"/>
        </w:rPr>
        <w:tab/>
        <w:t>PINTURA EN MUROS</w:t>
      </w:r>
    </w:p>
    <w:p w14:paraId="397BC8E2"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Pintura látex de alta resistencia a formación de hongos, algas y líquenes. Debe de ser resistente a hongos, acrílico y salpiqueo controlado.</w:t>
      </w:r>
    </w:p>
    <w:p w14:paraId="5CD6578C"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Garantía de 4 años mínimo.</w:t>
      </w:r>
    </w:p>
    <w:p w14:paraId="25E980B6"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La ubicación y color que indiquen los planos de acabados.</w:t>
      </w:r>
    </w:p>
    <w:p w14:paraId="09FB7A59"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lastRenderedPageBreak/>
        <w:t>7.5.</w:t>
      </w:r>
      <w:r w:rsidRPr="00A27653">
        <w:rPr>
          <w:rFonts w:ascii="Times New Roman" w:eastAsia="Calibri" w:hAnsi="Times New Roman"/>
          <w:color w:val="000000"/>
          <w:szCs w:val="22"/>
          <w:lang w:eastAsia="en-US"/>
        </w:rPr>
        <w:tab/>
        <w:t>PINTURA PIZARRON</w:t>
      </w:r>
    </w:p>
    <w:p w14:paraId="0F914C9A"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En los muros que el plano indique, se colocará pintura pizarras, esta debe de ser de baja reflexión de luz que permite buena visibilidad del pizarrón desde cualquier ángulo.</w:t>
      </w:r>
    </w:p>
    <w:p w14:paraId="54346020" w14:textId="77777777" w:rsid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Con aceptación a la tiza y permitir que sea borrada con facilidad.</w:t>
      </w:r>
    </w:p>
    <w:p w14:paraId="66B46929" w14:textId="77777777" w:rsidR="00D37638" w:rsidRPr="00A27653" w:rsidRDefault="00D37638" w:rsidP="00A27653">
      <w:pPr>
        <w:autoSpaceDE w:val="0"/>
        <w:autoSpaceDN w:val="0"/>
        <w:adjustRightInd w:val="0"/>
        <w:jc w:val="both"/>
        <w:rPr>
          <w:rFonts w:ascii="Times New Roman" w:eastAsia="Calibri" w:hAnsi="Times New Roman"/>
          <w:color w:val="000000"/>
          <w:szCs w:val="22"/>
          <w:lang w:eastAsia="en-US"/>
        </w:rPr>
      </w:pPr>
    </w:p>
    <w:p w14:paraId="78587D98"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7.6.</w:t>
      </w:r>
      <w:r w:rsidRPr="00A27653">
        <w:rPr>
          <w:rFonts w:ascii="Times New Roman" w:eastAsia="Calibri" w:hAnsi="Times New Roman"/>
          <w:color w:val="000000"/>
          <w:szCs w:val="22"/>
          <w:lang w:eastAsia="en-US"/>
        </w:rPr>
        <w:tab/>
        <w:t>PISOS Y AZULEJOS</w:t>
      </w:r>
    </w:p>
    <w:p w14:paraId="75D7257B"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7.6.1.</w:t>
      </w:r>
      <w:r w:rsidRPr="00A27653">
        <w:rPr>
          <w:rFonts w:ascii="Times New Roman" w:eastAsia="Calibri" w:hAnsi="Times New Roman"/>
          <w:color w:val="000000"/>
          <w:szCs w:val="22"/>
          <w:lang w:eastAsia="en-US"/>
        </w:rPr>
        <w:tab/>
        <w:t>PISO GRIS</w:t>
      </w:r>
    </w:p>
    <w:p w14:paraId="46FD19DE" w14:textId="31CB0D80"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 xml:space="preserve"> Piso nacional, color gris, formato 0.43*0.43 metros. Tránsito alto.</w:t>
      </w:r>
    </w:p>
    <w:p w14:paraId="76D63116"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7.6.2.</w:t>
      </w:r>
      <w:r w:rsidRPr="00A27653">
        <w:rPr>
          <w:rFonts w:ascii="Times New Roman" w:eastAsia="Calibri" w:hAnsi="Times New Roman"/>
          <w:color w:val="000000"/>
          <w:szCs w:val="22"/>
          <w:lang w:eastAsia="en-US"/>
        </w:rPr>
        <w:tab/>
        <w:t>GRANITO</w:t>
      </w:r>
    </w:p>
    <w:p w14:paraId="12261839"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El piso a emplear dentro del edificio será granito pulido, fondo gris y de dimensiones de 0.30 x 0.30 m.</w:t>
      </w:r>
    </w:p>
    <w:p w14:paraId="5A7C06AA"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7.6.3.</w:t>
      </w:r>
      <w:r w:rsidRPr="00A27653">
        <w:rPr>
          <w:rFonts w:ascii="Times New Roman" w:eastAsia="Calibri" w:hAnsi="Times New Roman"/>
          <w:color w:val="000000"/>
          <w:szCs w:val="22"/>
          <w:lang w:eastAsia="en-US"/>
        </w:rPr>
        <w:tab/>
        <w:t>AZULEJO PORCELANATO</w:t>
      </w:r>
    </w:p>
    <w:p w14:paraId="63189E4B"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427D8AB9" w14:textId="77777777" w:rsid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7.6.4.</w:t>
      </w:r>
      <w:r w:rsidRPr="00A27653">
        <w:rPr>
          <w:rFonts w:ascii="Times New Roman" w:eastAsia="Calibri" w:hAnsi="Times New Roman"/>
          <w:color w:val="000000"/>
          <w:szCs w:val="22"/>
          <w:lang w:eastAsia="en-US"/>
        </w:rPr>
        <w:tab/>
        <w:t>AZULEJO GRIS</w:t>
      </w:r>
    </w:p>
    <w:p w14:paraId="72588DA7" w14:textId="77777777" w:rsidR="00D37638" w:rsidRPr="00A27653" w:rsidRDefault="00D37638" w:rsidP="00A27653">
      <w:pPr>
        <w:autoSpaceDE w:val="0"/>
        <w:autoSpaceDN w:val="0"/>
        <w:adjustRightInd w:val="0"/>
        <w:jc w:val="both"/>
        <w:rPr>
          <w:rFonts w:ascii="Times New Roman" w:eastAsia="Calibri" w:hAnsi="Times New Roman"/>
          <w:color w:val="000000"/>
          <w:szCs w:val="22"/>
          <w:lang w:eastAsia="en-US"/>
        </w:rPr>
      </w:pPr>
    </w:p>
    <w:p w14:paraId="653FAF20"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7.7.</w:t>
      </w:r>
      <w:r w:rsidRPr="00A27653">
        <w:rPr>
          <w:rFonts w:ascii="Times New Roman" w:eastAsia="Calibri" w:hAnsi="Times New Roman"/>
          <w:color w:val="000000"/>
          <w:szCs w:val="22"/>
          <w:lang w:eastAsia="en-US"/>
        </w:rPr>
        <w:tab/>
        <w:t>VENTANAS</w:t>
      </w:r>
    </w:p>
    <w:p w14:paraId="572E493F"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Deberán suministrarse con todos sus herrajes, anclajes, operadores y demás elementos para su adecuado funcionamiento como se indica en los planos.</w:t>
      </w:r>
    </w:p>
    <w:p w14:paraId="25BCE1EF"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El marco de las ventanas será de aluminio y un vidrio de 5mm de espesor. Con las dimensiones que indican los planos.</w:t>
      </w:r>
    </w:p>
    <w:p w14:paraId="5A3464D1"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No se permitirá la colocación de ventanas que muestren signos de oxidación, alabeos o algún otro tipo de deformación. Deberán ser perfectamente instaladas a plomo y nivel, sin ninguna distorsión en la estructura de la ventana, haciendo ajustes finales colocados los vidrios, entre los marcos de la ventana y la estructura de concreto, se colocará un sellador para evitar las filtraciones.</w:t>
      </w:r>
    </w:p>
    <w:p w14:paraId="270C7B59"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Una vez colocados los vidrios. Se procederá a efectuar su limpieza, eliminando y removiendo cualquier mancha o elemento adherido a los mismos.</w:t>
      </w:r>
    </w:p>
    <w:p w14:paraId="24E4BB82"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7.8.</w:t>
      </w:r>
      <w:r w:rsidRPr="00A27653">
        <w:rPr>
          <w:rFonts w:ascii="Times New Roman" w:eastAsia="Calibri" w:hAnsi="Times New Roman"/>
          <w:color w:val="000000"/>
          <w:szCs w:val="22"/>
          <w:lang w:eastAsia="en-US"/>
        </w:rPr>
        <w:tab/>
        <w:t>PUERTAS</w:t>
      </w:r>
    </w:p>
    <w:p w14:paraId="75FA2A36"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El tipo se indica en los planos. Deberán proporcionarse con todos sus herrajes, cerraduras, pasadores y elementos necesarios para su adecuado funcionamiento.</w:t>
      </w:r>
    </w:p>
    <w:p w14:paraId="19325E78"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Los marcos de las puertas serán de aluminio y con vidrio.</w:t>
      </w:r>
    </w:p>
    <w:p w14:paraId="3C5ED705"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7.9.</w:t>
      </w:r>
      <w:r w:rsidRPr="00A27653">
        <w:rPr>
          <w:rFonts w:ascii="Times New Roman" w:eastAsia="Calibri" w:hAnsi="Times New Roman"/>
          <w:color w:val="000000"/>
          <w:szCs w:val="22"/>
          <w:lang w:eastAsia="en-US"/>
        </w:rPr>
        <w:tab/>
        <w:t>PAÑUELOS</w:t>
      </w:r>
    </w:p>
    <w:p w14:paraId="1D6BA1DA"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Se hará uso un mortero liviano, con una pendiente mínima del 2%, los pañuelos se les debe hacer media caños con las vigas tapajuntas, para garantizar la buena adherencia del mortero liviano a las losas se deberá de utilizar un aditivo adherente.</w:t>
      </w:r>
    </w:p>
    <w:p w14:paraId="452CE32A"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7.10.</w:t>
      </w:r>
      <w:r w:rsidRPr="00A27653">
        <w:rPr>
          <w:rFonts w:ascii="Times New Roman" w:eastAsia="Calibri" w:hAnsi="Times New Roman"/>
          <w:color w:val="000000"/>
          <w:szCs w:val="22"/>
          <w:lang w:eastAsia="en-US"/>
        </w:rPr>
        <w:tab/>
        <w:t>RAMPAS</w:t>
      </w:r>
    </w:p>
    <w:p w14:paraId="66139A39"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Frente a las puertas de acceso, se construirán rampas para facilitar la accesibilidad de las personas que tengan algún problema de movilidad.</w:t>
      </w:r>
    </w:p>
    <w:p w14:paraId="19105FFD"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La pendiente no será mayor del 12% y su acabado final será cernido gris remolineado.</w:t>
      </w:r>
    </w:p>
    <w:p w14:paraId="243F3A3D"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7.11.</w:t>
      </w:r>
      <w:r w:rsidRPr="00A27653">
        <w:rPr>
          <w:rFonts w:ascii="Times New Roman" w:eastAsia="Calibri" w:hAnsi="Times New Roman"/>
          <w:color w:val="000000"/>
          <w:szCs w:val="22"/>
          <w:lang w:eastAsia="en-US"/>
        </w:rPr>
        <w:tab/>
        <w:t>BARANDALES</w:t>
      </w:r>
    </w:p>
    <w:p w14:paraId="28A9FB05" w14:textId="77777777" w:rsid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 xml:space="preserve">Baranda de tubo proceso, más pintura anticorrosiva. Su ubicación </w:t>
      </w:r>
      <w:proofErr w:type="spellStart"/>
      <w:r w:rsidRPr="00A27653">
        <w:rPr>
          <w:rFonts w:ascii="Times New Roman" w:eastAsia="Calibri" w:hAnsi="Times New Roman"/>
          <w:color w:val="000000"/>
          <w:szCs w:val="22"/>
          <w:lang w:eastAsia="en-US"/>
        </w:rPr>
        <w:t>esta</w:t>
      </w:r>
      <w:proofErr w:type="spellEnd"/>
      <w:r w:rsidRPr="00A27653">
        <w:rPr>
          <w:rFonts w:ascii="Times New Roman" w:eastAsia="Calibri" w:hAnsi="Times New Roman"/>
          <w:color w:val="000000"/>
          <w:szCs w:val="22"/>
          <w:lang w:eastAsia="en-US"/>
        </w:rPr>
        <w:t xml:space="preserve"> definida en los planos.</w:t>
      </w:r>
    </w:p>
    <w:p w14:paraId="5079F827" w14:textId="77777777" w:rsidR="00D37638" w:rsidRPr="00A27653" w:rsidRDefault="00D37638" w:rsidP="00A27653">
      <w:pPr>
        <w:autoSpaceDE w:val="0"/>
        <w:autoSpaceDN w:val="0"/>
        <w:adjustRightInd w:val="0"/>
        <w:jc w:val="both"/>
        <w:rPr>
          <w:rFonts w:ascii="Times New Roman" w:eastAsia="Calibri" w:hAnsi="Times New Roman"/>
          <w:color w:val="000000"/>
          <w:szCs w:val="22"/>
          <w:lang w:eastAsia="en-US"/>
        </w:rPr>
      </w:pPr>
    </w:p>
    <w:p w14:paraId="1C0FC5E3"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8.</w:t>
      </w:r>
      <w:r w:rsidRPr="00A27653">
        <w:rPr>
          <w:rFonts w:ascii="Times New Roman" w:eastAsia="Calibri" w:hAnsi="Times New Roman"/>
          <w:color w:val="000000"/>
          <w:szCs w:val="22"/>
          <w:lang w:eastAsia="en-US"/>
        </w:rPr>
        <w:tab/>
        <w:t>INSTALACIONES HIDRAULICAS</w:t>
      </w:r>
    </w:p>
    <w:p w14:paraId="1287D2D4" w14:textId="74E00EC0"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8.1.</w:t>
      </w:r>
      <w:r w:rsidRPr="00A27653">
        <w:rPr>
          <w:rFonts w:ascii="Times New Roman" w:eastAsia="Calibri" w:hAnsi="Times New Roman"/>
          <w:color w:val="000000"/>
          <w:szCs w:val="22"/>
          <w:lang w:eastAsia="en-US"/>
        </w:rPr>
        <w:tab/>
        <w:t>DESCRIPCIÓN DE NORMA DE MATERIALES:8.1.1.</w:t>
      </w:r>
      <w:r w:rsidRPr="00A27653">
        <w:rPr>
          <w:rFonts w:ascii="Times New Roman" w:eastAsia="Calibri" w:hAnsi="Times New Roman"/>
          <w:color w:val="000000"/>
          <w:szCs w:val="22"/>
          <w:lang w:eastAsia="en-US"/>
        </w:rPr>
        <w:tab/>
        <w:t>TUBERIAS Y ACCESORIOS DE PVC JUNTA CEMENTADA:</w:t>
      </w:r>
    </w:p>
    <w:p w14:paraId="02BC6D27" w14:textId="63674FD1"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 xml:space="preserve"> •</w:t>
      </w:r>
      <w:r w:rsidRPr="00A27653">
        <w:rPr>
          <w:rFonts w:ascii="Times New Roman" w:eastAsia="Calibri" w:hAnsi="Times New Roman"/>
          <w:color w:val="000000"/>
          <w:szCs w:val="22"/>
          <w:lang w:eastAsia="en-US"/>
        </w:rPr>
        <w:tab/>
        <w:t xml:space="preserve">Toda la tubería especificada de cloruro de polivinilo, PVC, clase 250 PSI para los diámetros de ¾” para arriba, y debe satisfacer las normas </w:t>
      </w:r>
      <w:proofErr w:type="spellStart"/>
      <w:r w:rsidRPr="00A27653">
        <w:rPr>
          <w:rFonts w:ascii="Times New Roman" w:eastAsia="Calibri" w:hAnsi="Times New Roman"/>
          <w:color w:val="000000"/>
          <w:szCs w:val="22"/>
          <w:lang w:eastAsia="en-US"/>
        </w:rPr>
        <w:t>Commercial</w:t>
      </w:r>
      <w:proofErr w:type="spellEnd"/>
      <w:r w:rsidRPr="00A27653">
        <w:rPr>
          <w:rFonts w:ascii="Times New Roman" w:eastAsia="Calibri" w:hAnsi="Times New Roman"/>
          <w:color w:val="000000"/>
          <w:szCs w:val="22"/>
          <w:lang w:eastAsia="en-US"/>
        </w:rPr>
        <w:t xml:space="preserve"> Standard de fabricación de tuberías ASTM D-2241, para accesorios cédula 40 de ASTM D-2466. 315 pis, SDR 13.5, para diámetro de 1/2" y 250 psi, SDR 17 para los demás diámetros con una longitud de 20 pies (6.10 m).</w:t>
      </w:r>
    </w:p>
    <w:p w14:paraId="11B41AAE"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Todos los accesorios serán de la misma calidad y calibres que la tubería especificada.</w:t>
      </w:r>
    </w:p>
    <w:p w14:paraId="457050D1"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Los diámetros para utilizar son desde ½” hasta 3”</w:t>
      </w:r>
    </w:p>
    <w:p w14:paraId="00D936F9"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281EA827"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8.1.2.</w:t>
      </w:r>
      <w:r w:rsidRPr="00A27653">
        <w:rPr>
          <w:rFonts w:ascii="Times New Roman" w:eastAsia="Calibri" w:hAnsi="Times New Roman"/>
          <w:color w:val="000000"/>
          <w:szCs w:val="22"/>
          <w:lang w:eastAsia="en-US"/>
        </w:rPr>
        <w:tab/>
        <w:t>TUBERIAS Y ACCESORIOS METALICOS</w:t>
      </w:r>
    </w:p>
    <w:p w14:paraId="3B25B4C4"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lastRenderedPageBreak/>
        <w:t>•</w:t>
      </w:r>
      <w:r w:rsidRPr="00A27653">
        <w:rPr>
          <w:rFonts w:ascii="Times New Roman" w:eastAsia="Calibri" w:hAnsi="Times New Roman"/>
          <w:color w:val="000000"/>
          <w:szCs w:val="22"/>
          <w:lang w:eastAsia="en-US"/>
        </w:rPr>
        <w:tab/>
        <w:t xml:space="preserve">Toda la tubería especificada de hierro galvanizado será fabricación </w:t>
      </w:r>
      <w:proofErr w:type="gramStart"/>
      <w:r w:rsidRPr="00A27653">
        <w:rPr>
          <w:rFonts w:ascii="Times New Roman" w:eastAsia="Calibri" w:hAnsi="Times New Roman"/>
          <w:color w:val="000000"/>
          <w:szCs w:val="22"/>
          <w:lang w:eastAsia="en-US"/>
        </w:rPr>
        <w:t>Americana</w:t>
      </w:r>
      <w:proofErr w:type="gramEnd"/>
      <w:r w:rsidRPr="00A27653">
        <w:rPr>
          <w:rFonts w:ascii="Times New Roman" w:eastAsia="Calibri" w:hAnsi="Times New Roman"/>
          <w:color w:val="000000"/>
          <w:szCs w:val="22"/>
          <w:lang w:eastAsia="en-US"/>
        </w:rPr>
        <w:t>, norma ASTM A53, hierro maleable con costura, Cédula 40, con extremos roscados, rosca standard.</w:t>
      </w:r>
    </w:p>
    <w:p w14:paraId="309484F4"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Todos los accesorios serán clase 150, hierro maleable galvanizado, rosca estándar.</w:t>
      </w:r>
    </w:p>
    <w:p w14:paraId="4CBD5A35"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 xml:space="preserve">Las roscas se sellarán con </w:t>
      </w:r>
      <w:proofErr w:type="spellStart"/>
      <w:r w:rsidRPr="00A27653">
        <w:rPr>
          <w:rFonts w:ascii="Times New Roman" w:eastAsia="Calibri" w:hAnsi="Times New Roman"/>
          <w:color w:val="000000"/>
          <w:szCs w:val="22"/>
          <w:lang w:eastAsia="en-US"/>
        </w:rPr>
        <w:t>Permatex</w:t>
      </w:r>
      <w:proofErr w:type="spellEnd"/>
      <w:r w:rsidRPr="00A27653">
        <w:rPr>
          <w:rFonts w:ascii="Times New Roman" w:eastAsia="Calibri" w:hAnsi="Times New Roman"/>
          <w:color w:val="000000"/>
          <w:szCs w:val="22"/>
          <w:lang w:eastAsia="en-US"/>
        </w:rPr>
        <w:t xml:space="preserve"> y cinta de teflón.</w:t>
      </w:r>
    </w:p>
    <w:p w14:paraId="173A8DBB"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3C5BF6AE"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8.1.3.</w:t>
      </w:r>
      <w:r w:rsidRPr="00A27653">
        <w:rPr>
          <w:rFonts w:ascii="Times New Roman" w:eastAsia="Calibri" w:hAnsi="Times New Roman"/>
          <w:color w:val="000000"/>
          <w:szCs w:val="22"/>
          <w:lang w:eastAsia="en-US"/>
        </w:rPr>
        <w:tab/>
        <w:t>TUBERIA Y ACCESORIOS DE CPVC</w:t>
      </w:r>
    </w:p>
    <w:p w14:paraId="2F135072"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Toda la tubería para agua caliente será clase CPVC, Norma ASTM D-2846, tubo de 20 pies, SDR 11 para 82.2 °C (180 °F) y 100 PSI como presión máxima de operación.</w:t>
      </w:r>
    </w:p>
    <w:p w14:paraId="1301FA16"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Todos los accesorios serán de la misma calidad y calibres que la tubería especificada.</w:t>
      </w:r>
    </w:p>
    <w:p w14:paraId="4DE3DB35"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8.1.4.</w:t>
      </w:r>
      <w:r w:rsidRPr="00A27653">
        <w:rPr>
          <w:rFonts w:ascii="Times New Roman" w:eastAsia="Calibri" w:hAnsi="Times New Roman"/>
          <w:color w:val="000000"/>
          <w:szCs w:val="22"/>
          <w:lang w:eastAsia="en-US"/>
        </w:rPr>
        <w:tab/>
        <w:t>VALVULAS DE BRONCE:</w:t>
      </w:r>
    </w:p>
    <w:p w14:paraId="395D6974"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8.1.4.1.</w:t>
      </w:r>
      <w:r w:rsidRPr="00A27653">
        <w:rPr>
          <w:rFonts w:ascii="Times New Roman" w:eastAsia="Calibri" w:hAnsi="Times New Roman"/>
          <w:color w:val="000000"/>
          <w:szCs w:val="22"/>
          <w:lang w:eastAsia="en-US"/>
        </w:rPr>
        <w:tab/>
        <w:t>VALVULAS DE COMPUERTA</w:t>
      </w:r>
    </w:p>
    <w:p w14:paraId="4FA361E1"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 xml:space="preserve">Vástago fijo, cuerpo de bronce, probadas y marcadas a 125 </w:t>
      </w:r>
      <w:proofErr w:type="spellStart"/>
      <w:r w:rsidRPr="00A27653">
        <w:rPr>
          <w:rFonts w:ascii="Times New Roman" w:eastAsia="Calibri" w:hAnsi="Times New Roman"/>
          <w:color w:val="000000"/>
          <w:szCs w:val="22"/>
          <w:lang w:eastAsia="en-US"/>
        </w:rPr>
        <w:t>lbs</w:t>
      </w:r>
      <w:proofErr w:type="spellEnd"/>
      <w:r w:rsidRPr="00A27653">
        <w:rPr>
          <w:rFonts w:ascii="Times New Roman" w:eastAsia="Calibri" w:hAnsi="Times New Roman"/>
          <w:color w:val="000000"/>
          <w:szCs w:val="22"/>
          <w:lang w:eastAsia="en-US"/>
        </w:rPr>
        <w:t>. /plg2, disco doble. Similar a NIBCO.</w:t>
      </w:r>
    </w:p>
    <w:p w14:paraId="49EECD4E"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8.1.4.2.</w:t>
      </w:r>
      <w:r w:rsidRPr="00A27653">
        <w:rPr>
          <w:rFonts w:ascii="Times New Roman" w:eastAsia="Calibri" w:hAnsi="Times New Roman"/>
          <w:color w:val="000000"/>
          <w:szCs w:val="22"/>
          <w:lang w:eastAsia="en-US"/>
        </w:rPr>
        <w:tab/>
        <w:t>VALVULAS DE RETENCION HORIZONTAL</w:t>
      </w:r>
    </w:p>
    <w:p w14:paraId="6946F7A2"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 xml:space="preserve">Compuerta horizontal, cuerpo de bronce, disco de bronce, probadas y marcadas a 150 </w:t>
      </w:r>
      <w:proofErr w:type="spellStart"/>
      <w:r w:rsidRPr="00A27653">
        <w:rPr>
          <w:rFonts w:ascii="Times New Roman" w:eastAsia="Calibri" w:hAnsi="Times New Roman"/>
          <w:color w:val="000000"/>
          <w:szCs w:val="22"/>
          <w:lang w:eastAsia="en-US"/>
        </w:rPr>
        <w:t>lbs</w:t>
      </w:r>
      <w:proofErr w:type="spellEnd"/>
      <w:r w:rsidRPr="00A27653">
        <w:rPr>
          <w:rFonts w:ascii="Times New Roman" w:eastAsia="Calibri" w:hAnsi="Times New Roman"/>
          <w:color w:val="000000"/>
          <w:szCs w:val="22"/>
          <w:lang w:eastAsia="en-US"/>
        </w:rPr>
        <w:t>. /plg2. Similar a NIBCO.</w:t>
      </w:r>
    </w:p>
    <w:p w14:paraId="6296FAEF"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8.1.4.3.</w:t>
      </w:r>
      <w:r w:rsidRPr="00A27653">
        <w:rPr>
          <w:rFonts w:ascii="Times New Roman" w:eastAsia="Calibri" w:hAnsi="Times New Roman"/>
          <w:color w:val="000000"/>
          <w:szCs w:val="22"/>
          <w:lang w:eastAsia="en-US"/>
        </w:rPr>
        <w:tab/>
        <w:t>VALVULAS DE BOLA</w:t>
      </w:r>
    </w:p>
    <w:p w14:paraId="5525910B"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 xml:space="preserve">Maneral horizontal, cuerpo de bronce, bola de teflón, probadas y marcadas a 125 </w:t>
      </w:r>
      <w:proofErr w:type="spellStart"/>
      <w:r w:rsidRPr="00A27653">
        <w:rPr>
          <w:rFonts w:ascii="Times New Roman" w:eastAsia="Calibri" w:hAnsi="Times New Roman"/>
          <w:color w:val="000000"/>
          <w:szCs w:val="22"/>
          <w:lang w:eastAsia="en-US"/>
        </w:rPr>
        <w:t>lbs</w:t>
      </w:r>
      <w:proofErr w:type="spellEnd"/>
      <w:r w:rsidRPr="00A27653">
        <w:rPr>
          <w:rFonts w:ascii="Times New Roman" w:eastAsia="Calibri" w:hAnsi="Times New Roman"/>
          <w:color w:val="000000"/>
          <w:szCs w:val="22"/>
          <w:lang w:eastAsia="en-US"/>
        </w:rPr>
        <w:t>. /plg2. Similar a NIBCO.</w:t>
      </w:r>
    </w:p>
    <w:p w14:paraId="1D3A3441"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8.1.4.4.</w:t>
      </w:r>
      <w:r w:rsidRPr="00A27653">
        <w:rPr>
          <w:rFonts w:ascii="Times New Roman" w:eastAsia="Calibri" w:hAnsi="Times New Roman"/>
          <w:color w:val="000000"/>
          <w:szCs w:val="22"/>
          <w:lang w:eastAsia="en-US"/>
        </w:rPr>
        <w:tab/>
        <w:t>GRIFOS (CHORROS)</w:t>
      </w:r>
    </w:p>
    <w:p w14:paraId="5CF3729C"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 xml:space="preserve">Cuerpo de bronce, manija removible, boca roscada y asiento de empaque de hule. Para una presión de trabajo de 125 </w:t>
      </w:r>
      <w:proofErr w:type="spellStart"/>
      <w:r w:rsidRPr="00A27653">
        <w:rPr>
          <w:rFonts w:ascii="Times New Roman" w:eastAsia="Calibri" w:hAnsi="Times New Roman"/>
          <w:color w:val="000000"/>
          <w:szCs w:val="22"/>
          <w:lang w:eastAsia="en-US"/>
        </w:rPr>
        <w:t>lbs</w:t>
      </w:r>
      <w:proofErr w:type="spellEnd"/>
      <w:r w:rsidRPr="00A27653">
        <w:rPr>
          <w:rFonts w:ascii="Times New Roman" w:eastAsia="Calibri" w:hAnsi="Times New Roman"/>
          <w:color w:val="000000"/>
          <w:szCs w:val="22"/>
          <w:lang w:eastAsia="en-US"/>
        </w:rPr>
        <w:t>. /plg2.</w:t>
      </w:r>
    </w:p>
    <w:p w14:paraId="0280B214"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1E3C4FDB"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0AD04CF2"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8.1.5.</w:t>
      </w:r>
      <w:r w:rsidRPr="00A27653">
        <w:rPr>
          <w:rFonts w:ascii="Times New Roman" w:eastAsia="Calibri" w:hAnsi="Times New Roman"/>
          <w:color w:val="000000"/>
          <w:szCs w:val="22"/>
          <w:lang w:eastAsia="en-US"/>
        </w:rPr>
        <w:tab/>
        <w:t>VALVULAS DE HIERRO FUNDIDO</w:t>
      </w:r>
    </w:p>
    <w:p w14:paraId="742495DC"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8.1.5.1.</w:t>
      </w:r>
      <w:r w:rsidRPr="00A27653">
        <w:rPr>
          <w:rFonts w:ascii="Times New Roman" w:eastAsia="Calibri" w:hAnsi="Times New Roman"/>
          <w:color w:val="000000"/>
          <w:szCs w:val="22"/>
          <w:lang w:eastAsia="en-US"/>
        </w:rPr>
        <w:tab/>
        <w:t>VALVULAS DE COMPUERTA</w:t>
      </w:r>
    </w:p>
    <w:p w14:paraId="3A9610BC"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 xml:space="preserve">Vástago fijo, cuerpo de hierro fundido, probadas y marcadas a 150 </w:t>
      </w:r>
      <w:proofErr w:type="spellStart"/>
      <w:proofErr w:type="gramStart"/>
      <w:r w:rsidRPr="00A27653">
        <w:rPr>
          <w:rFonts w:ascii="Times New Roman" w:eastAsia="Calibri" w:hAnsi="Times New Roman"/>
          <w:color w:val="000000"/>
          <w:szCs w:val="22"/>
          <w:lang w:eastAsia="en-US"/>
        </w:rPr>
        <w:t>lbs</w:t>
      </w:r>
      <w:proofErr w:type="spellEnd"/>
      <w:r w:rsidRPr="00A27653">
        <w:rPr>
          <w:rFonts w:ascii="Times New Roman" w:eastAsia="Calibri" w:hAnsi="Times New Roman"/>
          <w:color w:val="000000"/>
          <w:szCs w:val="22"/>
          <w:lang w:eastAsia="en-US"/>
        </w:rPr>
        <w:t>./</w:t>
      </w:r>
      <w:proofErr w:type="gramEnd"/>
      <w:r w:rsidRPr="00A27653">
        <w:rPr>
          <w:rFonts w:ascii="Times New Roman" w:eastAsia="Calibri" w:hAnsi="Times New Roman"/>
          <w:color w:val="000000"/>
          <w:szCs w:val="22"/>
          <w:lang w:eastAsia="en-US"/>
        </w:rPr>
        <w:t xml:space="preserve"> plg2, disco doble. Similar a NIBCO.</w:t>
      </w:r>
    </w:p>
    <w:p w14:paraId="2A0CC0DC"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8.1.5.2.</w:t>
      </w:r>
      <w:r w:rsidRPr="00A27653">
        <w:rPr>
          <w:rFonts w:ascii="Times New Roman" w:eastAsia="Calibri" w:hAnsi="Times New Roman"/>
          <w:color w:val="000000"/>
          <w:szCs w:val="22"/>
          <w:lang w:eastAsia="en-US"/>
        </w:rPr>
        <w:tab/>
        <w:t>VALVULAS DE RETENCION</w:t>
      </w:r>
    </w:p>
    <w:p w14:paraId="464F731D"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 xml:space="preserve"> </w:t>
      </w:r>
    </w:p>
    <w:p w14:paraId="71000C67"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29E8C8B3"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 xml:space="preserve">Compuerta horizontal, cuerpo de hierro fundido, disco de bronce, probadas y marcadas a 150 </w:t>
      </w:r>
      <w:proofErr w:type="spellStart"/>
      <w:r w:rsidRPr="00A27653">
        <w:rPr>
          <w:rFonts w:ascii="Times New Roman" w:eastAsia="Calibri" w:hAnsi="Times New Roman"/>
          <w:color w:val="000000"/>
          <w:szCs w:val="22"/>
          <w:lang w:eastAsia="en-US"/>
        </w:rPr>
        <w:t>lbs</w:t>
      </w:r>
      <w:proofErr w:type="spellEnd"/>
      <w:r w:rsidRPr="00A27653">
        <w:rPr>
          <w:rFonts w:ascii="Times New Roman" w:eastAsia="Calibri" w:hAnsi="Times New Roman"/>
          <w:color w:val="000000"/>
          <w:szCs w:val="22"/>
          <w:lang w:eastAsia="en-US"/>
        </w:rPr>
        <w:t>. / plg2. Similar a NIBCO.</w:t>
      </w:r>
    </w:p>
    <w:p w14:paraId="6268497A"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8.1.5.3.</w:t>
      </w:r>
      <w:r w:rsidRPr="00A27653">
        <w:rPr>
          <w:rFonts w:ascii="Times New Roman" w:eastAsia="Calibri" w:hAnsi="Times New Roman"/>
          <w:color w:val="000000"/>
          <w:szCs w:val="22"/>
          <w:lang w:eastAsia="en-US"/>
        </w:rPr>
        <w:tab/>
        <w:t>VALVULAS AUTOMATICAS DE CONTROL DE FLOTACION PARA CISTERNAS</w:t>
      </w:r>
    </w:p>
    <w:p w14:paraId="55D7ADFA"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8.1.5.3.1.</w:t>
      </w:r>
      <w:r w:rsidRPr="00A27653">
        <w:rPr>
          <w:rFonts w:ascii="Times New Roman" w:eastAsia="Calibri" w:hAnsi="Times New Roman"/>
          <w:color w:val="000000"/>
          <w:szCs w:val="22"/>
          <w:lang w:eastAsia="en-US"/>
        </w:rPr>
        <w:tab/>
        <w:t>VALVULAS</w:t>
      </w:r>
      <w:r w:rsidRPr="00A27653">
        <w:rPr>
          <w:rFonts w:ascii="Times New Roman" w:eastAsia="Calibri" w:hAnsi="Times New Roman"/>
          <w:color w:val="000000"/>
          <w:szCs w:val="22"/>
          <w:lang w:eastAsia="en-US"/>
        </w:rPr>
        <w:tab/>
        <w:t>AUTOMATICAS</w:t>
      </w:r>
      <w:r w:rsidRPr="00A27653">
        <w:rPr>
          <w:rFonts w:ascii="Times New Roman" w:eastAsia="Calibri" w:hAnsi="Times New Roman"/>
          <w:color w:val="000000"/>
          <w:szCs w:val="22"/>
          <w:lang w:eastAsia="en-US"/>
        </w:rPr>
        <w:tab/>
        <w:t>DE</w:t>
      </w:r>
      <w:r w:rsidRPr="00A27653">
        <w:rPr>
          <w:rFonts w:ascii="Times New Roman" w:eastAsia="Calibri" w:hAnsi="Times New Roman"/>
          <w:color w:val="000000"/>
          <w:szCs w:val="22"/>
          <w:lang w:eastAsia="en-US"/>
        </w:rPr>
        <w:tab/>
        <w:t>ALIVIO</w:t>
      </w:r>
      <w:r w:rsidRPr="00A27653">
        <w:rPr>
          <w:rFonts w:ascii="Times New Roman" w:eastAsia="Calibri" w:hAnsi="Times New Roman"/>
          <w:color w:val="000000"/>
          <w:szCs w:val="22"/>
          <w:lang w:eastAsia="en-US"/>
        </w:rPr>
        <w:tab/>
        <w:t>Y SOSTENEDORAS DE PRESION</w:t>
      </w:r>
    </w:p>
    <w:p w14:paraId="4E3A35CC"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Válvula de seguridad con rango de presión 75 a 150 psi.</w:t>
      </w:r>
    </w:p>
    <w:p w14:paraId="2A2EB51E"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Cuerpo de bronce y asiento de bronce. Similar a Watts.</w:t>
      </w:r>
    </w:p>
    <w:p w14:paraId="5CE709DA"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2671D4C0"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8.1.5.3.2.</w:t>
      </w:r>
      <w:r w:rsidRPr="00A27653">
        <w:rPr>
          <w:rFonts w:ascii="Times New Roman" w:eastAsia="Calibri" w:hAnsi="Times New Roman"/>
          <w:color w:val="000000"/>
          <w:szCs w:val="22"/>
          <w:lang w:eastAsia="en-US"/>
        </w:rPr>
        <w:tab/>
        <w:t>VALVULAS</w:t>
      </w:r>
      <w:r w:rsidRPr="00A27653">
        <w:rPr>
          <w:rFonts w:ascii="Times New Roman" w:eastAsia="Calibri" w:hAnsi="Times New Roman"/>
          <w:color w:val="000000"/>
          <w:szCs w:val="22"/>
          <w:lang w:eastAsia="en-US"/>
        </w:rPr>
        <w:tab/>
        <w:t>AUTOMATICAS</w:t>
      </w:r>
      <w:r w:rsidRPr="00A27653">
        <w:rPr>
          <w:rFonts w:ascii="Times New Roman" w:eastAsia="Calibri" w:hAnsi="Times New Roman"/>
          <w:color w:val="000000"/>
          <w:szCs w:val="22"/>
          <w:lang w:eastAsia="en-US"/>
        </w:rPr>
        <w:tab/>
        <w:t>REGULADORAS</w:t>
      </w:r>
      <w:r w:rsidRPr="00A27653">
        <w:rPr>
          <w:rFonts w:ascii="Times New Roman" w:eastAsia="Calibri" w:hAnsi="Times New Roman"/>
          <w:color w:val="000000"/>
          <w:szCs w:val="22"/>
          <w:lang w:eastAsia="en-US"/>
        </w:rPr>
        <w:tab/>
        <w:t>DE PRESION</w:t>
      </w:r>
    </w:p>
    <w:p w14:paraId="77FB9A72"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Cuerpo de hierro fundido, para regular presión estática y dinámica, diafragma de acero inoxidable. Llevarán manómetro incorporado o adicional a la reguladora. El diámetro, armado de la instalación de la reguladora y la posición estarán indicados en los planos. Similar a: Hoffman o Watts.</w:t>
      </w:r>
    </w:p>
    <w:p w14:paraId="0A60F94F"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8.1.5.3.3.</w:t>
      </w:r>
      <w:r w:rsidRPr="00A27653">
        <w:rPr>
          <w:rFonts w:ascii="Times New Roman" w:eastAsia="Calibri" w:hAnsi="Times New Roman"/>
          <w:color w:val="000000"/>
          <w:szCs w:val="22"/>
          <w:lang w:eastAsia="en-US"/>
        </w:rPr>
        <w:tab/>
        <w:t>VALVULAS VENTOSAS</w:t>
      </w:r>
    </w:p>
    <w:p w14:paraId="454902C6"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Para ser utilizada en líneas principales de agua fría.</w:t>
      </w:r>
    </w:p>
    <w:p w14:paraId="1CFC2CD0"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Cuerpo de hierro maleable. Descarga de 1/8” NPT en la parte superior. Rosca de ¾” NPT para colocar en tubería principal. Máxima presión de operación 150 psi. Similar a Hoffman.</w:t>
      </w:r>
    </w:p>
    <w:p w14:paraId="114FFAF6"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8.1.6.</w:t>
      </w:r>
      <w:r w:rsidRPr="00A27653">
        <w:rPr>
          <w:rFonts w:ascii="Times New Roman" w:eastAsia="Calibri" w:hAnsi="Times New Roman"/>
          <w:color w:val="000000"/>
          <w:szCs w:val="22"/>
          <w:lang w:eastAsia="en-US"/>
        </w:rPr>
        <w:tab/>
        <w:t>SOPORTERIA PARA LA SUJECION DE LAS TUBERIAS VERTICALES Y HORIZONTALES</w:t>
      </w:r>
    </w:p>
    <w:p w14:paraId="445B6936"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La tubería será colocada en el lugar y en la alineación definitiva para evitar posteriormente tener que forzarla a posiciones diferentes.</w:t>
      </w:r>
    </w:p>
    <w:p w14:paraId="01E01F27"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8.1.7.</w:t>
      </w:r>
      <w:r w:rsidRPr="00A27653">
        <w:rPr>
          <w:rFonts w:ascii="Times New Roman" w:eastAsia="Calibri" w:hAnsi="Times New Roman"/>
          <w:color w:val="000000"/>
          <w:szCs w:val="22"/>
          <w:lang w:eastAsia="en-US"/>
        </w:rPr>
        <w:tab/>
        <w:t>SOPORTES Y COLGADORES:</w:t>
      </w:r>
    </w:p>
    <w:p w14:paraId="0E17C92D"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roofErr w:type="spellStart"/>
      <w:r w:rsidRPr="00A27653">
        <w:rPr>
          <w:rFonts w:ascii="Times New Roman" w:eastAsia="Calibri" w:hAnsi="Times New Roman"/>
          <w:color w:val="000000"/>
          <w:szCs w:val="22"/>
          <w:lang w:eastAsia="en-US"/>
        </w:rPr>
        <w:t>Cleavis</w:t>
      </w:r>
      <w:proofErr w:type="spellEnd"/>
      <w:r w:rsidRPr="00A27653">
        <w:rPr>
          <w:rFonts w:ascii="Times New Roman" w:eastAsia="Calibri" w:hAnsi="Times New Roman"/>
          <w:color w:val="000000"/>
          <w:szCs w:val="22"/>
          <w:lang w:eastAsia="en-US"/>
        </w:rPr>
        <w:t xml:space="preserve"> </w:t>
      </w:r>
      <w:proofErr w:type="spellStart"/>
      <w:r w:rsidRPr="00A27653">
        <w:rPr>
          <w:rFonts w:ascii="Times New Roman" w:eastAsia="Calibri" w:hAnsi="Times New Roman"/>
          <w:color w:val="000000"/>
          <w:szCs w:val="22"/>
          <w:lang w:eastAsia="en-US"/>
        </w:rPr>
        <w:t>Hanger</w:t>
      </w:r>
      <w:proofErr w:type="spellEnd"/>
      <w:r w:rsidRPr="00A27653">
        <w:rPr>
          <w:rFonts w:ascii="Times New Roman" w:eastAsia="Calibri" w:hAnsi="Times New Roman"/>
          <w:color w:val="000000"/>
          <w:szCs w:val="22"/>
          <w:lang w:eastAsia="en-US"/>
        </w:rPr>
        <w:t xml:space="preserve"> o abrazaderas </w:t>
      </w:r>
      <w:proofErr w:type="spellStart"/>
      <w:r w:rsidRPr="00A27653">
        <w:rPr>
          <w:rFonts w:ascii="Times New Roman" w:eastAsia="Calibri" w:hAnsi="Times New Roman"/>
          <w:color w:val="000000"/>
          <w:szCs w:val="22"/>
          <w:lang w:eastAsia="en-US"/>
        </w:rPr>
        <w:t>Unistrut</w:t>
      </w:r>
      <w:proofErr w:type="spellEnd"/>
      <w:r w:rsidRPr="00A27653">
        <w:rPr>
          <w:rFonts w:ascii="Times New Roman" w:eastAsia="Calibri" w:hAnsi="Times New Roman"/>
          <w:color w:val="000000"/>
          <w:szCs w:val="22"/>
          <w:lang w:eastAsia="en-US"/>
        </w:rPr>
        <w:t xml:space="preserve"> tipo J, galvanizado, con el espaciamiento máximo siguiente:</w:t>
      </w:r>
    </w:p>
    <w:p w14:paraId="418D8B0E"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8.1.7.1.</w:t>
      </w:r>
      <w:r w:rsidRPr="00A27653">
        <w:rPr>
          <w:rFonts w:ascii="Times New Roman" w:eastAsia="Calibri" w:hAnsi="Times New Roman"/>
          <w:color w:val="000000"/>
          <w:szCs w:val="22"/>
          <w:lang w:eastAsia="en-US"/>
        </w:rPr>
        <w:tab/>
        <w:t>TUBERIA DE PVC</w:t>
      </w:r>
    </w:p>
    <w:p w14:paraId="6E1C8268"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1/2" a 3/4" espaciamiento de 1.30 m.</w:t>
      </w:r>
    </w:p>
    <w:p w14:paraId="56C3C651"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lastRenderedPageBreak/>
        <w:t>•</w:t>
      </w:r>
      <w:r w:rsidRPr="00A27653">
        <w:rPr>
          <w:rFonts w:ascii="Times New Roman" w:eastAsia="Calibri" w:hAnsi="Times New Roman"/>
          <w:color w:val="000000"/>
          <w:szCs w:val="22"/>
          <w:lang w:eastAsia="en-US"/>
        </w:rPr>
        <w:tab/>
        <w:t>1" a 2 1/2" espaciamiento de 1.50 m.</w:t>
      </w:r>
    </w:p>
    <w:p w14:paraId="2F9BF90E"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3" a mayores espaciamientos de 2.10 m.</w:t>
      </w:r>
    </w:p>
    <w:p w14:paraId="0DAE4995"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 xml:space="preserve">Los colgadores </w:t>
      </w:r>
      <w:proofErr w:type="spellStart"/>
      <w:r w:rsidRPr="00A27653">
        <w:rPr>
          <w:rFonts w:ascii="Times New Roman" w:eastAsia="Calibri" w:hAnsi="Times New Roman"/>
          <w:color w:val="000000"/>
          <w:szCs w:val="22"/>
          <w:lang w:eastAsia="en-US"/>
        </w:rPr>
        <w:t>Cleavis</w:t>
      </w:r>
      <w:proofErr w:type="spellEnd"/>
      <w:r w:rsidRPr="00A27653">
        <w:rPr>
          <w:rFonts w:ascii="Times New Roman" w:eastAsia="Calibri" w:hAnsi="Times New Roman"/>
          <w:color w:val="000000"/>
          <w:szCs w:val="22"/>
          <w:lang w:eastAsia="en-US"/>
        </w:rPr>
        <w:t xml:space="preserve"> </w:t>
      </w:r>
      <w:proofErr w:type="spellStart"/>
      <w:r w:rsidRPr="00A27653">
        <w:rPr>
          <w:rFonts w:ascii="Times New Roman" w:eastAsia="Calibri" w:hAnsi="Times New Roman"/>
          <w:color w:val="000000"/>
          <w:szCs w:val="22"/>
          <w:lang w:eastAsia="en-US"/>
        </w:rPr>
        <w:t>Hanger</w:t>
      </w:r>
      <w:proofErr w:type="spellEnd"/>
      <w:r w:rsidRPr="00A27653">
        <w:rPr>
          <w:rFonts w:ascii="Times New Roman" w:eastAsia="Calibri" w:hAnsi="Times New Roman"/>
          <w:color w:val="000000"/>
          <w:szCs w:val="22"/>
          <w:lang w:eastAsia="en-US"/>
        </w:rPr>
        <w:t xml:space="preserve"> tendrán las siguientes medidas en la varilla roscada de soporte para los siguientes diámetros de tubería:</w:t>
      </w:r>
    </w:p>
    <w:p w14:paraId="72499525"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1/2" a 2" se utilizará varilla de 3/8"</w:t>
      </w:r>
    </w:p>
    <w:p w14:paraId="0BEB993E"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2 1/2" a 3" se utilizará varilla de 1/2"</w:t>
      </w:r>
    </w:p>
    <w:p w14:paraId="6862891B"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4" a mayores se utilizará varilla de 5/8"</w:t>
      </w:r>
    </w:p>
    <w:p w14:paraId="2732C9BF"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 xml:space="preserve">Los soportes verticales, irán espaciados cada medio nivel y serán del tipo canal galvanizado </w:t>
      </w:r>
      <w:proofErr w:type="spellStart"/>
      <w:r w:rsidRPr="00A27653">
        <w:rPr>
          <w:rFonts w:ascii="Times New Roman" w:eastAsia="Calibri" w:hAnsi="Times New Roman"/>
          <w:color w:val="000000"/>
          <w:szCs w:val="22"/>
          <w:lang w:eastAsia="en-US"/>
        </w:rPr>
        <w:t>Unistrut</w:t>
      </w:r>
      <w:proofErr w:type="spellEnd"/>
      <w:r w:rsidRPr="00A27653">
        <w:rPr>
          <w:rFonts w:ascii="Times New Roman" w:eastAsia="Calibri" w:hAnsi="Times New Roman"/>
          <w:color w:val="000000"/>
          <w:szCs w:val="22"/>
          <w:lang w:eastAsia="en-US"/>
        </w:rPr>
        <w:t>.</w:t>
      </w:r>
    </w:p>
    <w:p w14:paraId="62725E4E"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5898BFD5"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8.1.8.</w:t>
      </w:r>
      <w:r w:rsidRPr="00A27653">
        <w:rPr>
          <w:rFonts w:ascii="Times New Roman" w:eastAsia="Calibri" w:hAnsi="Times New Roman"/>
          <w:color w:val="000000"/>
          <w:szCs w:val="22"/>
          <w:lang w:eastAsia="en-US"/>
        </w:rPr>
        <w:tab/>
        <w:t>JUNTAS Y EMPALMES (CUANDO APLIQUE):</w:t>
      </w:r>
    </w:p>
    <w:p w14:paraId="770444FD"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8.1.8.1.</w:t>
      </w:r>
      <w:r w:rsidRPr="00A27653">
        <w:rPr>
          <w:rFonts w:ascii="Times New Roman" w:eastAsia="Calibri" w:hAnsi="Times New Roman"/>
          <w:color w:val="000000"/>
          <w:szCs w:val="22"/>
          <w:lang w:eastAsia="en-US"/>
        </w:rPr>
        <w:tab/>
        <w:t>JUNTAS DE PVC:</w:t>
      </w:r>
    </w:p>
    <w:p w14:paraId="79D78C5A"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 xml:space="preserve"> </w:t>
      </w:r>
    </w:p>
    <w:p w14:paraId="5D304F01"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2153D260"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Será un adhesivo base solvente y Cloruro de Polivinilo (PVC) de consistencia altamente viscosa. Las juntas de PVC serán juntas cementadas utilizando pegamento PVC que cumpla con la norma ASTM D – 2564 (Especificación estándar para cementos para PVC).</w:t>
      </w:r>
    </w:p>
    <w:p w14:paraId="27BA6DC4"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8.1.8.2.</w:t>
      </w:r>
      <w:r w:rsidRPr="00A27653">
        <w:rPr>
          <w:rFonts w:ascii="Times New Roman" w:eastAsia="Calibri" w:hAnsi="Times New Roman"/>
          <w:color w:val="000000"/>
          <w:szCs w:val="22"/>
          <w:lang w:eastAsia="en-US"/>
        </w:rPr>
        <w:tab/>
        <w:t>JUNTAS DE CPVC:</w:t>
      </w:r>
    </w:p>
    <w:p w14:paraId="3611B738"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Será un adhesivo base solvente formulado con resinas de Cloruro de Polivinilo (Clorado), de color amarillo y con viscosidad media para unir tuberías y conexiones de C-PVC de hasta 4 pulgadas, cédulas 40 y 80. Que cumpla con la norma ASTM F-493, certificado por NSF. Libre de Tetrahidrofurano (THF)</w:t>
      </w:r>
    </w:p>
    <w:p w14:paraId="60AEAFF7"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8.1.8.3.</w:t>
      </w:r>
      <w:r w:rsidRPr="00A27653">
        <w:rPr>
          <w:rFonts w:ascii="Times New Roman" w:eastAsia="Calibri" w:hAnsi="Times New Roman"/>
          <w:color w:val="000000"/>
          <w:szCs w:val="22"/>
          <w:lang w:eastAsia="en-US"/>
        </w:rPr>
        <w:tab/>
        <w:t>JUNTAS FLEXIBLES PARA SISTEMA DE AGUA POTABLE:</w:t>
      </w:r>
    </w:p>
    <w:p w14:paraId="28A181A8"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8.1.8.3.1.</w:t>
      </w:r>
      <w:r w:rsidRPr="00A27653">
        <w:rPr>
          <w:rFonts w:ascii="Times New Roman" w:eastAsia="Calibri" w:hAnsi="Times New Roman"/>
          <w:color w:val="000000"/>
          <w:szCs w:val="22"/>
          <w:lang w:eastAsia="en-US"/>
        </w:rPr>
        <w:tab/>
        <w:t>JUNTAS</w:t>
      </w:r>
      <w:r w:rsidRPr="00A27653">
        <w:rPr>
          <w:rFonts w:ascii="Times New Roman" w:eastAsia="Calibri" w:hAnsi="Times New Roman"/>
          <w:color w:val="000000"/>
          <w:szCs w:val="22"/>
          <w:lang w:eastAsia="en-US"/>
        </w:rPr>
        <w:tab/>
        <w:t>FLEXIBLES</w:t>
      </w:r>
      <w:r w:rsidRPr="00A27653">
        <w:rPr>
          <w:rFonts w:ascii="Times New Roman" w:eastAsia="Calibri" w:hAnsi="Times New Roman"/>
          <w:color w:val="000000"/>
          <w:szCs w:val="22"/>
          <w:lang w:eastAsia="en-US"/>
        </w:rPr>
        <w:tab/>
        <w:t>PARA</w:t>
      </w:r>
      <w:r w:rsidRPr="00A27653">
        <w:rPr>
          <w:rFonts w:ascii="Times New Roman" w:eastAsia="Calibri" w:hAnsi="Times New Roman"/>
          <w:color w:val="000000"/>
          <w:szCs w:val="22"/>
          <w:lang w:eastAsia="en-US"/>
        </w:rPr>
        <w:tab/>
        <w:t>LOS</w:t>
      </w:r>
      <w:r w:rsidRPr="00A27653">
        <w:rPr>
          <w:rFonts w:ascii="Times New Roman" w:eastAsia="Calibri" w:hAnsi="Times New Roman"/>
          <w:color w:val="000000"/>
          <w:szCs w:val="22"/>
          <w:lang w:eastAsia="en-US"/>
        </w:rPr>
        <w:tab/>
        <w:t>MANIFOLDS</w:t>
      </w:r>
      <w:r w:rsidRPr="00A27653">
        <w:rPr>
          <w:rFonts w:ascii="Times New Roman" w:eastAsia="Calibri" w:hAnsi="Times New Roman"/>
          <w:color w:val="000000"/>
          <w:szCs w:val="22"/>
          <w:lang w:eastAsia="en-US"/>
        </w:rPr>
        <w:tab/>
        <w:t>DE VALVULAS EN LOS MONTANTES</w:t>
      </w:r>
    </w:p>
    <w:p w14:paraId="56F7C539"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Serán manguera de alta presión con extremos de bronce con rosca macho, acoplados con herramienta neumática.</w:t>
      </w:r>
    </w:p>
    <w:p w14:paraId="7A560893"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Presión de trabajo 125 PSI. Longitud de 0.60 metros.</w:t>
      </w:r>
    </w:p>
    <w:p w14:paraId="5193ECAF"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Diámetro indicado en los planos.</w:t>
      </w:r>
    </w:p>
    <w:p w14:paraId="32EBC406"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19CBFAD7"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8.1.8.3.2.</w:t>
      </w:r>
      <w:r w:rsidRPr="00A27653">
        <w:rPr>
          <w:rFonts w:ascii="Times New Roman" w:eastAsia="Calibri" w:hAnsi="Times New Roman"/>
          <w:color w:val="000000"/>
          <w:szCs w:val="22"/>
          <w:lang w:eastAsia="en-US"/>
        </w:rPr>
        <w:tab/>
        <w:t>JUNTAS FLEXIBLES PARA ACOMETIDA</w:t>
      </w:r>
    </w:p>
    <w:p w14:paraId="4162C9B8"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Serán manguera de alta presión con extremos de bronce con rosca macho, acoplados con herramienta neumática.</w:t>
      </w:r>
    </w:p>
    <w:p w14:paraId="05E179DB"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Presión de trabajo 125 PSI. Longitud de 0.60 metros.</w:t>
      </w:r>
    </w:p>
    <w:p w14:paraId="360C6A27"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Diámetro de 1”.</w:t>
      </w:r>
    </w:p>
    <w:p w14:paraId="1551185D"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6320521E"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8.2.</w:t>
      </w:r>
      <w:r w:rsidRPr="00A27653">
        <w:rPr>
          <w:rFonts w:ascii="Times New Roman" w:eastAsia="Calibri" w:hAnsi="Times New Roman"/>
          <w:color w:val="000000"/>
          <w:szCs w:val="22"/>
          <w:lang w:eastAsia="en-US"/>
        </w:rPr>
        <w:tab/>
        <w:t>ESPECIFICACIONES TÉCNICAS DEL MATERIAL:</w:t>
      </w:r>
    </w:p>
    <w:p w14:paraId="69FB3ACA"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8.2.1.</w:t>
      </w:r>
      <w:r w:rsidRPr="00A27653">
        <w:rPr>
          <w:rFonts w:ascii="Times New Roman" w:eastAsia="Calibri" w:hAnsi="Times New Roman"/>
          <w:color w:val="000000"/>
          <w:szCs w:val="22"/>
          <w:lang w:eastAsia="en-US"/>
        </w:rPr>
        <w:tab/>
        <w:t>AGUA CALIENTE:</w:t>
      </w:r>
    </w:p>
    <w:p w14:paraId="660B34D1"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El sistema de CPVC deberá estar fabricado con resina de Policloruro de vinilo clorado (CPVC), diseñados especialmente para la conducción de agua caliente en vivienda, industria y comercio. Deberá soportar temperaturas máximas de trabajo de 82°C y presiones de 100 PSI. Las especificaciones para la tubería de agua caliente deberán cumplir con la norma ASTM D 2846.</w:t>
      </w:r>
    </w:p>
    <w:p w14:paraId="56F6232C"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8.2.2.</w:t>
      </w:r>
      <w:r w:rsidRPr="00A27653">
        <w:rPr>
          <w:rFonts w:ascii="Times New Roman" w:eastAsia="Calibri" w:hAnsi="Times New Roman"/>
          <w:color w:val="000000"/>
          <w:szCs w:val="22"/>
          <w:lang w:eastAsia="en-US"/>
        </w:rPr>
        <w:tab/>
        <w:t>AGUA FRÍA:</w:t>
      </w:r>
    </w:p>
    <w:p w14:paraId="3BB02261"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El sistema Cédula 40 deberá estar fabricado con resina de Policloruro de vinilo (PVC) sin plastificante, diseñada específicamente para la conducción de agua fría a presión en uso doméstico, comercial e industrial. La tubería deberá cumplir con la norma ASTM D 1785.</w:t>
      </w:r>
    </w:p>
    <w:p w14:paraId="6F23C372"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8.3.</w:t>
      </w:r>
      <w:r w:rsidRPr="00A27653">
        <w:rPr>
          <w:rFonts w:ascii="Times New Roman" w:eastAsia="Calibri" w:hAnsi="Times New Roman"/>
          <w:color w:val="000000"/>
          <w:szCs w:val="22"/>
          <w:lang w:eastAsia="en-US"/>
        </w:rPr>
        <w:tab/>
        <w:t>PARÁMETROS DE DISEÑO:</w:t>
      </w:r>
    </w:p>
    <w:p w14:paraId="4A0DCEF2"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Las investigaciones y análisis del flujo hidráulico han establecido que las condiciones de flujo en sistemas de presión en tuberías de PVC pueden calcularse conservadoramente utilizando la fórmula de Hazen-Williams. La ecuación es la siguiente:</w:t>
      </w:r>
    </w:p>
    <w:p w14:paraId="0EC8EE5D"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4D6D0E19"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 xml:space="preserve"> </w:t>
      </w:r>
    </w:p>
    <w:p w14:paraId="6BC2A447"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252537C6"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lastRenderedPageBreak/>
        <w:t>donde:</w:t>
      </w:r>
    </w:p>
    <w:p w14:paraId="1FD963B3"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Q = caudal, l/s</w:t>
      </w:r>
    </w:p>
    <w:p w14:paraId="71D2896A"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V = velocidad del flujo, m/s</w:t>
      </w:r>
    </w:p>
    <w:p w14:paraId="34EE9AF9"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A = área de la sección transversal interna del tubo, m2 Di = diámetro interno, m</w:t>
      </w:r>
    </w:p>
    <w:p w14:paraId="40BC18DA"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C = coeficiente de Hazen-Williams, 150 para PVC S = gradiente hidráulico = H/</w:t>
      </w:r>
      <w:proofErr w:type="gramStart"/>
      <w:r w:rsidRPr="00A27653">
        <w:rPr>
          <w:rFonts w:ascii="Times New Roman" w:eastAsia="Calibri" w:hAnsi="Times New Roman"/>
          <w:color w:val="000000"/>
          <w:szCs w:val="22"/>
          <w:lang w:eastAsia="en-US"/>
        </w:rPr>
        <w:t>L ,</w:t>
      </w:r>
      <w:proofErr w:type="gramEnd"/>
      <w:r w:rsidRPr="00A27653">
        <w:rPr>
          <w:rFonts w:ascii="Times New Roman" w:eastAsia="Calibri" w:hAnsi="Times New Roman"/>
          <w:color w:val="000000"/>
          <w:szCs w:val="22"/>
          <w:lang w:eastAsia="en-US"/>
        </w:rPr>
        <w:t xml:space="preserve"> m/m</w:t>
      </w:r>
    </w:p>
    <w:p w14:paraId="0B12273C"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H = pérdida de carga, m L = longitud de la línea, m</w:t>
      </w:r>
    </w:p>
    <w:p w14:paraId="5277D993"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Asimismo, las pérdidas por fricción en la tubería pueden calcularse mediante la ecuación:</w:t>
      </w:r>
    </w:p>
    <w:p w14:paraId="5AE2BFC2"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47E349C5"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7591F1AA"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donde:</w:t>
      </w:r>
    </w:p>
    <w:p w14:paraId="7AF1048F"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0B48E142"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 pérdida de carga, m/100 m</w:t>
      </w:r>
    </w:p>
    <w:p w14:paraId="05F64578"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 xml:space="preserve">Cuadro se presenta un ábaco para el cálculo hidráulico de tuberías </w:t>
      </w:r>
      <w:proofErr w:type="gramStart"/>
      <w:r w:rsidRPr="00A27653">
        <w:rPr>
          <w:rFonts w:ascii="Times New Roman" w:eastAsia="Calibri" w:hAnsi="Times New Roman"/>
          <w:color w:val="000000"/>
          <w:szCs w:val="22"/>
          <w:lang w:eastAsia="en-US"/>
        </w:rPr>
        <w:t>e</w:t>
      </w:r>
      <w:proofErr w:type="gramEnd"/>
      <w:r w:rsidRPr="00A27653">
        <w:rPr>
          <w:rFonts w:ascii="Times New Roman" w:eastAsia="Calibri" w:hAnsi="Times New Roman"/>
          <w:color w:val="000000"/>
          <w:szCs w:val="22"/>
          <w:lang w:eastAsia="en-US"/>
        </w:rPr>
        <w:t xml:space="preserve"> presión. En la tabla A.7 del anexo A, se especifican las dimensiones de las tuberías de presión, según la norma ASTM D-2241. Los accesorios correspondientes se muestran en el anexo B. De acuerdo con UNI-BELL (</w:t>
      </w:r>
      <w:proofErr w:type="spellStart"/>
      <w:r w:rsidRPr="00A27653">
        <w:rPr>
          <w:rFonts w:ascii="Times New Roman" w:eastAsia="Calibri" w:hAnsi="Times New Roman"/>
          <w:color w:val="000000"/>
          <w:szCs w:val="22"/>
          <w:lang w:eastAsia="en-US"/>
        </w:rPr>
        <w:t>The</w:t>
      </w:r>
      <w:proofErr w:type="spellEnd"/>
      <w:r w:rsidRPr="00A27653">
        <w:rPr>
          <w:rFonts w:ascii="Times New Roman" w:eastAsia="Calibri" w:hAnsi="Times New Roman"/>
          <w:color w:val="000000"/>
          <w:szCs w:val="22"/>
          <w:lang w:eastAsia="en-US"/>
        </w:rPr>
        <w:t xml:space="preserve"> </w:t>
      </w:r>
      <w:proofErr w:type="spellStart"/>
      <w:r w:rsidRPr="00A27653">
        <w:rPr>
          <w:rFonts w:ascii="Times New Roman" w:eastAsia="Calibri" w:hAnsi="Times New Roman"/>
          <w:color w:val="000000"/>
          <w:szCs w:val="22"/>
          <w:lang w:eastAsia="en-US"/>
        </w:rPr>
        <w:t>Uni</w:t>
      </w:r>
      <w:proofErr w:type="spellEnd"/>
      <w:r w:rsidRPr="00A27653">
        <w:rPr>
          <w:rFonts w:ascii="Times New Roman" w:eastAsia="Calibri" w:hAnsi="Times New Roman"/>
          <w:color w:val="000000"/>
          <w:szCs w:val="22"/>
          <w:lang w:eastAsia="en-US"/>
        </w:rPr>
        <w:t xml:space="preserve">-Bell PVC Pipe </w:t>
      </w:r>
      <w:proofErr w:type="spellStart"/>
      <w:r w:rsidRPr="00A27653">
        <w:rPr>
          <w:rFonts w:ascii="Times New Roman" w:eastAsia="Calibri" w:hAnsi="Times New Roman"/>
          <w:color w:val="000000"/>
          <w:szCs w:val="22"/>
          <w:lang w:eastAsia="en-US"/>
        </w:rPr>
        <w:t>Association</w:t>
      </w:r>
      <w:proofErr w:type="spellEnd"/>
      <w:r w:rsidRPr="00A27653">
        <w:rPr>
          <w:rFonts w:ascii="Times New Roman" w:eastAsia="Calibri" w:hAnsi="Times New Roman"/>
          <w:color w:val="000000"/>
          <w:szCs w:val="22"/>
          <w:lang w:eastAsia="en-US"/>
        </w:rPr>
        <w:t>), para velocidades mayores de1,5 m/s deben tomarse consideraciones especiales para efecto de golpe de ariete.</w:t>
      </w:r>
    </w:p>
    <w:p w14:paraId="53D3D1AD"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001FC5D3"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 xml:space="preserve">Fuente: Manual Técnico </w:t>
      </w:r>
      <w:proofErr w:type="spellStart"/>
      <w:r w:rsidRPr="00A27653">
        <w:rPr>
          <w:rFonts w:ascii="Times New Roman" w:eastAsia="Calibri" w:hAnsi="Times New Roman"/>
          <w:color w:val="000000"/>
          <w:szCs w:val="22"/>
          <w:lang w:eastAsia="en-US"/>
        </w:rPr>
        <w:t>Amanco</w:t>
      </w:r>
      <w:proofErr w:type="spellEnd"/>
    </w:p>
    <w:p w14:paraId="5DF4D950"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 xml:space="preserve"> </w:t>
      </w:r>
    </w:p>
    <w:p w14:paraId="1541AB9B"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13611D7F"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8.4.</w:t>
      </w:r>
      <w:r w:rsidRPr="00A27653">
        <w:rPr>
          <w:rFonts w:ascii="Times New Roman" w:eastAsia="Calibri" w:hAnsi="Times New Roman"/>
          <w:color w:val="000000"/>
          <w:szCs w:val="22"/>
          <w:lang w:eastAsia="en-US"/>
        </w:rPr>
        <w:tab/>
        <w:t>GUÍAS, NORMAS Y REGLAMENTOS:</w:t>
      </w:r>
    </w:p>
    <w:p w14:paraId="0FB54FDB" w14:textId="77777777" w:rsidR="00A27653" w:rsidRPr="00A27653" w:rsidRDefault="00A27653" w:rsidP="00A27653">
      <w:pPr>
        <w:autoSpaceDE w:val="0"/>
        <w:autoSpaceDN w:val="0"/>
        <w:adjustRightInd w:val="0"/>
        <w:jc w:val="both"/>
        <w:rPr>
          <w:rFonts w:ascii="Times New Roman" w:eastAsia="Calibri" w:hAnsi="Times New Roman"/>
          <w:color w:val="000000"/>
          <w:szCs w:val="22"/>
          <w:lang w:val="en-US" w:eastAsia="en-US"/>
        </w:rPr>
      </w:pPr>
      <w:r w:rsidRPr="00A27653">
        <w:rPr>
          <w:rFonts w:ascii="Times New Roman" w:eastAsia="Calibri" w:hAnsi="Times New Roman"/>
          <w:color w:val="000000"/>
          <w:szCs w:val="22"/>
          <w:lang w:val="en-US" w:eastAsia="en-US"/>
        </w:rPr>
        <w:t>•</w:t>
      </w:r>
      <w:r w:rsidRPr="00A27653">
        <w:rPr>
          <w:rFonts w:ascii="Times New Roman" w:eastAsia="Calibri" w:hAnsi="Times New Roman"/>
          <w:color w:val="000000"/>
          <w:szCs w:val="22"/>
          <w:lang w:val="en-US" w:eastAsia="en-US"/>
        </w:rPr>
        <w:tab/>
        <w:t>ASTM</w:t>
      </w:r>
    </w:p>
    <w:p w14:paraId="39C5394F" w14:textId="77777777" w:rsidR="00A27653" w:rsidRPr="00A27653" w:rsidRDefault="00A27653" w:rsidP="00A27653">
      <w:pPr>
        <w:autoSpaceDE w:val="0"/>
        <w:autoSpaceDN w:val="0"/>
        <w:adjustRightInd w:val="0"/>
        <w:jc w:val="both"/>
        <w:rPr>
          <w:rFonts w:ascii="Times New Roman" w:eastAsia="Calibri" w:hAnsi="Times New Roman"/>
          <w:color w:val="000000"/>
          <w:szCs w:val="22"/>
          <w:lang w:val="en-US" w:eastAsia="en-US"/>
        </w:rPr>
      </w:pPr>
      <w:r w:rsidRPr="00A27653">
        <w:rPr>
          <w:rFonts w:ascii="Times New Roman" w:eastAsia="Calibri" w:hAnsi="Times New Roman"/>
          <w:color w:val="000000"/>
          <w:szCs w:val="22"/>
          <w:lang w:val="en-US" w:eastAsia="en-US"/>
        </w:rPr>
        <w:t>•</w:t>
      </w:r>
      <w:r w:rsidRPr="00A27653">
        <w:rPr>
          <w:rFonts w:ascii="Times New Roman" w:eastAsia="Calibri" w:hAnsi="Times New Roman"/>
          <w:color w:val="000000"/>
          <w:szCs w:val="22"/>
          <w:lang w:val="en-US" w:eastAsia="en-US"/>
        </w:rPr>
        <w:tab/>
        <w:t>AMERICAN WATER WORKS</w:t>
      </w:r>
    </w:p>
    <w:p w14:paraId="5E3460BE" w14:textId="77777777" w:rsidR="00A27653" w:rsidRPr="00A27653" w:rsidRDefault="00A27653" w:rsidP="00A27653">
      <w:pPr>
        <w:autoSpaceDE w:val="0"/>
        <w:autoSpaceDN w:val="0"/>
        <w:adjustRightInd w:val="0"/>
        <w:jc w:val="both"/>
        <w:rPr>
          <w:rFonts w:ascii="Times New Roman" w:eastAsia="Calibri" w:hAnsi="Times New Roman"/>
          <w:color w:val="000000"/>
          <w:szCs w:val="22"/>
          <w:lang w:val="en-US" w:eastAsia="en-US"/>
        </w:rPr>
      </w:pPr>
      <w:r w:rsidRPr="00A27653">
        <w:rPr>
          <w:rFonts w:ascii="Times New Roman" w:eastAsia="Calibri" w:hAnsi="Times New Roman"/>
          <w:color w:val="000000"/>
          <w:szCs w:val="22"/>
          <w:lang w:val="en-US" w:eastAsia="en-US"/>
        </w:rPr>
        <w:t>•</w:t>
      </w:r>
      <w:r w:rsidRPr="00A27653">
        <w:rPr>
          <w:rFonts w:ascii="Times New Roman" w:eastAsia="Calibri" w:hAnsi="Times New Roman"/>
          <w:color w:val="000000"/>
          <w:szCs w:val="22"/>
          <w:lang w:val="en-US" w:eastAsia="en-US"/>
        </w:rPr>
        <w:tab/>
        <w:t>COMMERCIAL STANDARD</w:t>
      </w:r>
    </w:p>
    <w:p w14:paraId="1A703916" w14:textId="77777777" w:rsidR="00A27653" w:rsidRPr="00A27653" w:rsidRDefault="00A27653" w:rsidP="00A27653">
      <w:pPr>
        <w:autoSpaceDE w:val="0"/>
        <w:autoSpaceDN w:val="0"/>
        <w:adjustRightInd w:val="0"/>
        <w:jc w:val="both"/>
        <w:rPr>
          <w:rFonts w:ascii="Times New Roman" w:eastAsia="Calibri" w:hAnsi="Times New Roman"/>
          <w:color w:val="000000"/>
          <w:szCs w:val="22"/>
          <w:lang w:val="en-US" w:eastAsia="en-US"/>
        </w:rPr>
      </w:pPr>
      <w:r w:rsidRPr="00A27653">
        <w:rPr>
          <w:rFonts w:ascii="Times New Roman" w:eastAsia="Calibri" w:hAnsi="Times New Roman"/>
          <w:color w:val="000000"/>
          <w:szCs w:val="22"/>
          <w:lang w:val="en-US" w:eastAsia="en-US"/>
        </w:rPr>
        <w:t>•</w:t>
      </w:r>
      <w:r w:rsidRPr="00A27653">
        <w:rPr>
          <w:rFonts w:ascii="Times New Roman" w:eastAsia="Calibri" w:hAnsi="Times New Roman"/>
          <w:color w:val="000000"/>
          <w:szCs w:val="22"/>
          <w:lang w:val="en-US" w:eastAsia="en-US"/>
        </w:rPr>
        <w:tab/>
        <w:t>NATIONAL STANDARD PLUMBING CODE</w:t>
      </w:r>
    </w:p>
    <w:p w14:paraId="5E4AAF39" w14:textId="77777777" w:rsidR="00A27653" w:rsidRPr="00A27653" w:rsidRDefault="00A27653" w:rsidP="00A27653">
      <w:pPr>
        <w:autoSpaceDE w:val="0"/>
        <w:autoSpaceDN w:val="0"/>
        <w:adjustRightInd w:val="0"/>
        <w:jc w:val="both"/>
        <w:rPr>
          <w:rFonts w:ascii="Times New Roman" w:eastAsia="Calibri" w:hAnsi="Times New Roman"/>
          <w:color w:val="000000"/>
          <w:szCs w:val="22"/>
          <w:lang w:val="en-US" w:eastAsia="en-US"/>
        </w:rPr>
      </w:pPr>
      <w:r w:rsidRPr="00A27653">
        <w:rPr>
          <w:rFonts w:ascii="Times New Roman" w:eastAsia="Calibri" w:hAnsi="Times New Roman"/>
          <w:color w:val="000000"/>
          <w:szCs w:val="22"/>
          <w:lang w:val="en-US" w:eastAsia="en-US"/>
        </w:rPr>
        <w:t>•</w:t>
      </w:r>
      <w:r w:rsidRPr="00A27653">
        <w:rPr>
          <w:rFonts w:ascii="Times New Roman" w:eastAsia="Calibri" w:hAnsi="Times New Roman"/>
          <w:color w:val="000000"/>
          <w:szCs w:val="22"/>
          <w:lang w:val="en-US" w:eastAsia="en-US"/>
        </w:rPr>
        <w:tab/>
        <w:t>UNIFORM PLUMBING CODE</w:t>
      </w:r>
    </w:p>
    <w:p w14:paraId="7230FA51" w14:textId="77777777" w:rsidR="00A27653" w:rsidRPr="00A27653" w:rsidRDefault="00A27653" w:rsidP="00A27653">
      <w:pPr>
        <w:autoSpaceDE w:val="0"/>
        <w:autoSpaceDN w:val="0"/>
        <w:adjustRightInd w:val="0"/>
        <w:jc w:val="both"/>
        <w:rPr>
          <w:rFonts w:ascii="Times New Roman" w:eastAsia="Calibri" w:hAnsi="Times New Roman"/>
          <w:color w:val="000000"/>
          <w:szCs w:val="22"/>
          <w:lang w:val="en-US" w:eastAsia="en-US"/>
        </w:rPr>
      </w:pPr>
      <w:r w:rsidRPr="00A27653">
        <w:rPr>
          <w:rFonts w:ascii="Times New Roman" w:eastAsia="Calibri" w:hAnsi="Times New Roman"/>
          <w:color w:val="000000"/>
          <w:szCs w:val="22"/>
          <w:lang w:val="en-US" w:eastAsia="en-US"/>
        </w:rPr>
        <w:t>•</w:t>
      </w:r>
      <w:r w:rsidRPr="00A27653">
        <w:rPr>
          <w:rFonts w:ascii="Times New Roman" w:eastAsia="Calibri" w:hAnsi="Times New Roman"/>
          <w:color w:val="000000"/>
          <w:szCs w:val="22"/>
          <w:lang w:val="en-US" w:eastAsia="en-US"/>
        </w:rPr>
        <w:tab/>
        <w:t>INTERNATIONAL PLUMBING CODE</w:t>
      </w:r>
    </w:p>
    <w:p w14:paraId="5BFFE2BF" w14:textId="77777777" w:rsidR="00A27653" w:rsidRPr="00A27653" w:rsidRDefault="00A27653" w:rsidP="00A27653">
      <w:pPr>
        <w:autoSpaceDE w:val="0"/>
        <w:autoSpaceDN w:val="0"/>
        <w:adjustRightInd w:val="0"/>
        <w:jc w:val="both"/>
        <w:rPr>
          <w:rFonts w:ascii="Times New Roman" w:eastAsia="Calibri" w:hAnsi="Times New Roman"/>
          <w:color w:val="000000"/>
          <w:szCs w:val="22"/>
          <w:lang w:val="en-US" w:eastAsia="en-US"/>
        </w:rPr>
      </w:pPr>
      <w:r w:rsidRPr="00A27653">
        <w:rPr>
          <w:rFonts w:ascii="Times New Roman" w:eastAsia="Calibri" w:hAnsi="Times New Roman"/>
          <w:color w:val="000000"/>
          <w:szCs w:val="22"/>
          <w:lang w:val="en-US" w:eastAsia="en-US"/>
        </w:rPr>
        <w:t>•</w:t>
      </w:r>
      <w:r w:rsidRPr="00A27653">
        <w:rPr>
          <w:rFonts w:ascii="Times New Roman" w:eastAsia="Calibri" w:hAnsi="Times New Roman"/>
          <w:color w:val="000000"/>
          <w:szCs w:val="22"/>
          <w:lang w:val="en-US" w:eastAsia="en-US"/>
        </w:rPr>
        <w:tab/>
        <w:t>BOCA</w:t>
      </w:r>
    </w:p>
    <w:p w14:paraId="02AA93D4" w14:textId="77777777" w:rsidR="00A27653" w:rsidRPr="00A27653" w:rsidRDefault="00A27653" w:rsidP="00A27653">
      <w:pPr>
        <w:autoSpaceDE w:val="0"/>
        <w:autoSpaceDN w:val="0"/>
        <w:adjustRightInd w:val="0"/>
        <w:jc w:val="both"/>
        <w:rPr>
          <w:rFonts w:ascii="Times New Roman" w:eastAsia="Calibri" w:hAnsi="Times New Roman"/>
          <w:color w:val="000000"/>
          <w:szCs w:val="22"/>
          <w:lang w:val="en-US" w:eastAsia="en-US"/>
        </w:rPr>
      </w:pPr>
      <w:r w:rsidRPr="00A27653">
        <w:rPr>
          <w:rFonts w:ascii="Times New Roman" w:eastAsia="Calibri" w:hAnsi="Times New Roman"/>
          <w:color w:val="000000"/>
          <w:szCs w:val="22"/>
          <w:lang w:val="en-US" w:eastAsia="en-US"/>
        </w:rPr>
        <w:t>•</w:t>
      </w:r>
      <w:r w:rsidRPr="00A27653">
        <w:rPr>
          <w:rFonts w:ascii="Times New Roman" w:eastAsia="Calibri" w:hAnsi="Times New Roman"/>
          <w:color w:val="000000"/>
          <w:szCs w:val="22"/>
          <w:lang w:val="en-US" w:eastAsia="en-US"/>
        </w:rPr>
        <w:tab/>
        <w:t>PHCC</w:t>
      </w:r>
    </w:p>
    <w:p w14:paraId="64F5E8B5" w14:textId="77777777" w:rsidR="00A27653" w:rsidRPr="00A27653" w:rsidRDefault="00A27653" w:rsidP="00A27653">
      <w:pPr>
        <w:autoSpaceDE w:val="0"/>
        <w:autoSpaceDN w:val="0"/>
        <w:adjustRightInd w:val="0"/>
        <w:jc w:val="both"/>
        <w:rPr>
          <w:rFonts w:ascii="Times New Roman" w:eastAsia="Calibri" w:hAnsi="Times New Roman"/>
          <w:color w:val="000000"/>
          <w:szCs w:val="22"/>
          <w:lang w:val="en-US" w:eastAsia="en-US"/>
        </w:rPr>
      </w:pPr>
      <w:r w:rsidRPr="00A27653">
        <w:rPr>
          <w:rFonts w:ascii="Times New Roman" w:eastAsia="Calibri" w:hAnsi="Times New Roman"/>
          <w:color w:val="000000"/>
          <w:szCs w:val="22"/>
          <w:lang w:val="en-US" w:eastAsia="en-US"/>
        </w:rPr>
        <w:t>•</w:t>
      </w:r>
      <w:r w:rsidRPr="00A27653">
        <w:rPr>
          <w:rFonts w:ascii="Times New Roman" w:eastAsia="Calibri" w:hAnsi="Times New Roman"/>
          <w:color w:val="000000"/>
          <w:szCs w:val="22"/>
          <w:lang w:val="en-US" w:eastAsia="en-US"/>
        </w:rPr>
        <w:tab/>
        <w:t>NATIONAL PLUMBING CODE HANDBOOK</w:t>
      </w:r>
    </w:p>
    <w:p w14:paraId="48ED468A"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NFPA</w:t>
      </w:r>
    </w:p>
    <w:p w14:paraId="51B8045B"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REGLAMENTO DE EMPAGUA</w:t>
      </w:r>
    </w:p>
    <w:p w14:paraId="1B8C0A4D"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6673ED62"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0866B866"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8.5.</w:t>
      </w:r>
      <w:r w:rsidRPr="00A27653">
        <w:rPr>
          <w:rFonts w:ascii="Times New Roman" w:eastAsia="Calibri" w:hAnsi="Times New Roman"/>
          <w:color w:val="000000"/>
          <w:szCs w:val="22"/>
          <w:lang w:eastAsia="en-US"/>
        </w:rPr>
        <w:tab/>
        <w:t>DESCRIPCIÓN DE NORMA DE MATERIALES</w:t>
      </w:r>
    </w:p>
    <w:p w14:paraId="67BCD4D4"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8.5.1.</w:t>
      </w:r>
      <w:r w:rsidRPr="00A27653">
        <w:rPr>
          <w:rFonts w:ascii="Times New Roman" w:eastAsia="Calibri" w:hAnsi="Times New Roman"/>
          <w:color w:val="000000"/>
          <w:szCs w:val="22"/>
          <w:lang w:eastAsia="en-US"/>
        </w:rPr>
        <w:tab/>
        <w:t>Coordenadas geográficas del pozo (a perforar o existente):</w:t>
      </w:r>
    </w:p>
    <w:p w14:paraId="523DB68F"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24917B38"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8.5.2.</w:t>
      </w:r>
      <w:r w:rsidRPr="00A27653">
        <w:rPr>
          <w:rFonts w:ascii="Times New Roman" w:eastAsia="Calibri" w:hAnsi="Times New Roman"/>
          <w:color w:val="000000"/>
          <w:szCs w:val="22"/>
          <w:lang w:eastAsia="en-US"/>
        </w:rPr>
        <w:tab/>
        <w:t>Acotar colindancias de acuerdo al artículo 479 del código civil (2.00 m) de planta de tratamiento (30.00 m):</w:t>
      </w:r>
    </w:p>
    <w:p w14:paraId="7C30E310"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Ver plano DS-01. En este plano se indican las siguientes cotas:</w:t>
      </w:r>
    </w:p>
    <w:p w14:paraId="7A83E734"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La PTAR No.1 está a 2.04 metros de distancia de la colindancia norte.</w:t>
      </w:r>
    </w:p>
    <w:p w14:paraId="3149A29D"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La PTAR No. 2 está a 2.01 metros de distancia de la colindancia sur.</w:t>
      </w:r>
    </w:p>
    <w:p w14:paraId="70F02A16"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La PTAR No. 1 está a 74.17 metros de distancia del pozo mecánico.</w:t>
      </w:r>
    </w:p>
    <w:p w14:paraId="488B9204"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La PTAR No. 2 está a 23.38 metros de distancia del pozo mecánico.</w:t>
      </w:r>
    </w:p>
    <w:p w14:paraId="2D6D7F64"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5CBCF44C"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8.5.3.</w:t>
      </w:r>
      <w:r w:rsidRPr="00A27653">
        <w:rPr>
          <w:rFonts w:ascii="Times New Roman" w:eastAsia="Calibri" w:hAnsi="Times New Roman"/>
          <w:color w:val="000000"/>
          <w:szCs w:val="22"/>
          <w:lang w:eastAsia="en-US"/>
        </w:rPr>
        <w:tab/>
        <w:t>Equipo de bombeo del pozo, profundidad y diámetro:</w:t>
      </w:r>
    </w:p>
    <w:p w14:paraId="57F4E0B3"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8.5.3.1.</w:t>
      </w:r>
      <w:r w:rsidRPr="00A27653">
        <w:rPr>
          <w:rFonts w:ascii="Times New Roman" w:eastAsia="Calibri" w:hAnsi="Times New Roman"/>
          <w:color w:val="000000"/>
          <w:szCs w:val="22"/>
          <w:lang w:eastAsia="en-US"/>
        </w:rPr>
        <w:tab/>
        <w:t>Dimensiones del pozo:</w:t>
      </w:r>
    </w:p>
    <w:p w14:paraId="685D0BBE"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La profundidad será de 800 pies (240 metros) de acuerdo a los perfiles estratigráficos históricos del área.</w:t>
      </w:r>
    </w:p>
    <w:p w14:paraId="54985442"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El diámetro del pozo será de 8”.</w:t>
      </w:r>
    </w:p>
    <w:p w14:paraId="72E558D1"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Deberá confirmarse con el estudio hidrogeológico.</w:t>
      </w:r>
    </w:p>
    <w:p w14:paraId="638D38E5"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3BCC837B"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8.5.3.2.</w:t>
      </w:r>
      <w:r w:rsidRPr="00A27653">
        <w:rPr>
          <w:rFonts w:ascii="Times New Roman" w:eastAsia="Calibri" w:hAnsi="Times New Roman"/>
          <w:color w:val="000000"/>
          <w:szCs w:val="22"/>
          <w:lang w:eastAsia="en-US"/>
        </w:rPr>
        <w:tab/>
        <w:t>El equipo de bombeo será:</w:t>
      </w:r>
    </w:p>
    <w:p w14:paraId="2FDCDACE"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8.5.3.2.1.</w:t>
      </w:r>
      <w:r w:rsidRPr="00A27653">
        <w:rPr>
          <w:rFonts w:ascii="Times New Roman" w:eastAsia="Calibri" w:hAnsi="Times New Roman"/>
          <w:color w:val="000000"/>
          <w:szCs w:val="22"/>
          <w:lang w:eastAsia="en-US"/>
        </w:rPr>
        <w:tab/>
        <w:t>Clasificación de bomba:</w:t>
      </w:r>
    </w:p>
    <w:p w14:paraId="46C2D180"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 xml:space="preserve"> </w:t>
      </w:r>
    </w:p>
    <w:p w14:paraId="02E6D4F5"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8.5.3.2.2.</w:t>
      </w:r>
      <w:r w:rsidRPr="00A27653">
        <w:rPr>
          <w:rFonts w:ascii="Times New Roman" w:eastAsia="Calibri" w:hAnsi="Times New Roman"/>
          <w:color w:val="000000"/>
          <w:szCs w:val="22"/>
          <w:lang w:eastAsia="en-US"/>
        </w:rPr>
        <w:tab/>
        <w:t>Dimensionamiento de bomba:</w:t>
      </w:r>
    </w:p>
    <w:p w14:paraId="6C847299"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40C53FD8" w14:textId="7ED37F4A"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 xml:space="preserve"> 8.5.3.2.3.</w:t>
      </w:r>
      <w:r w:rsidRPr="00A27653">
        <w:rPr>
          <w:rFonts w:ascii="Times New Roman" w:eastAsia="Calibri" w:hAnsi="Times New Roman"/>
          <w:color w:val="000000"/>
          <w:szCs w:val="22"/>
          <w:lang w:eastAsia="en-US"/>
        </w:rPr>
        <w:tab/>
        <w:t>Especificaciones de bomba:</w:t>
      </w:r>
    </w:p>
    <w:p w14:paraId="6A2F1F0D"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Bomba sumergible Franklin de 20HP, motor de 6”, 20 etapas de 85 galones por minuto.</w:t>
      </w:r>
    </w:p>
    <w:p w14:paraId="2CC730E8"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70ABFF6F"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11732649"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8.5.4.</w:t>
      </w:r>
      <w:r w:rsidRPr="00A27653">
        <w:rPr>
          <w:rFonts w:ascii="Times New Roman" w:eastAsia="Calibri" w:hAnsi="Times New Roman"/>
          <w:color w:val="000000"/>
          <w:szCs w:val="22"/>
          <w:lang w:eastAsia="en-US"/>
        </w:rPr>
        <w:tab/>
        <w:t>CALIDAD DEL AGUA:</w:t>
      </w:r>
    </w:p>
    <w:p w14:paraId="539329BD" w14:textId="5D576A0C"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El agua extraída del pozo mecánico cumplirá con los límites máximos permisibles según Norma COGUANOR NG0 29001 para agua potable de acuerdo al cuadro No.1: Características físicas y organolépticas que debe tener el agua para el consumo humano.</w:t>
      </w:r>
    </w:p>
    <w:p w14:paraId="4FB507D5"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6EFA5DDA"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Solicitud de certificación de calidad del agua: Como lo indica el Acuerdo Gubernativo 178-2009, CAPÍTULO II, DEL PROCESO DE CERTIFICACIÓN:</w:t>
      </w:r>
    </w:p>
    <w:p w14:paraId="15EF6E7B"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Artículo 4. Solicitud. Toda persona individual o jurídica, pública o privada, responsable de un proyecto de abastecimiento de agua para consumo humano, debe solicitar y obtener el certificado de la calidad del agua para consumo humano en ese proyecto, previo a ponerlo en ejecución. La solicitud debe ser escrita y estar dirigida al director de Área de Salud correspondiente, de acuerdo con la ubicación geográfica del proyecto de abastecimiento.</w:t>
      </w:r>
    </w:p>
    <w:p w14:paraId="1D6E28F2"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Al agua extraída del pozo mecánico se le harán las pruebas físico químicas con los cuales se solicitará el certificado extendido por el Ministerio de Salud en el</w:t>
      </w:r>
    </w:p>
    <w:p w14:paraId="26259199"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 xml:space="preserve"> </w:t>
      </w:r>
    </w:p>
    <w:p w14:paraId="0A4F7194"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24C4E9D3"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cual se garantizará que es apta para consumo humano, según lo establece el artículo 88 del Código de Salud.</w:t>
      </w:r>
    </w:p>
    <w:p w14:paraId="314AF9D4"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245EFA02"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8.6.</w:t>
      </w:r>
      <w:r w:rsidRPr="00A27653">
        <w:rPr>
          <w:rFonts w:ascii="Times New Roman" w:eastAsia="Calibri" w:hAnsi="Times New Roman"/>
          <w:color w:val="000000"/>
          <w:szCs w:val="22"/>
          <w:lang w:eastAsia="en-US"/>
        </w:rPr>
        <w:tab/>
        <w:t>ARTEFACTOS AHORRADORES</w:t>
      </w:r>
    </w:p>
    <w:p w14:paraId="6AA9D6D8"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Se recomiendan artefactos sanitarios ahorradores indicando consumo máximo de los mismo, en cumplimiento con el Acuerdo COM 24-2020.</w:t>
      </w:r>
    </w:p>
    <w:p w14:paraId="10A41E8C"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8.6.1.</w:t>
      </w:r>
      <w:r w:rsidRPr="00A27653">
        <w:rPr>
          <w:rFonts w:ascii="Times New Roman" w:eastAsia="Calibri" w:hAnsi="Times New Roman"/>
          <w:color w:val="000000"/>
          <w:szCs w:val="22"/>
          <w:lang w:eastAsia="en-US"/>
        </w:rPr>
        <w:tab/>
        <w:t>SANITARIOS</w:t>
      </w:r>
    </w:p>
    <w:p w14:paraId="0334A0ED"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 xml:space="preserve">Artefacto cerámico </w:t>
      </w:r>
      <w:proofErr w:type="spellStart"/>
      <w:r w:rsidRPr="00A27653">
        <w:rPr>
          <w:rFonts w:ascii="Times New Roman" w:eastAsia="Calibri" w:hAnsi="Times New Roman"/>
          <w:color w:val="000000"/>
          <w:szCs w:val="22"/>
          <w:lang w:eastAsia="en-US"/>
        </w:rPr>
        <w:t>porcenalizado</w:t>
      </w:r>
      <w:proofErr w:type="spellEnd"/>
      <w:r w:rsidRPr="00A27653">
        <w:rPr>
          <w:rFonts w:ascii="Times New Roman" w:eastAsia="Calibri" w:hAnsi="Times New Roman"/>
          <w:color w:val="000000"/>
          <w:szCs w:val="22"/>
          <w:lang w:eastAsia="en-US"/>
        </w:rPr>
        <w:t xml:space="preserve"> de alto brillo de calidad A, para conexión a fluxómetro, elongado, institucional, color blanco.</w:t>
      </w:r>
    </w:p>
    <w:p w14:paraId="150E6331"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8.6.2.</w:t>
      </w:r>
      <w:r w:rsidRPr="00A27653">
        <w:rPr>
          <w:rFonts w:ascii="Times New Roman" w:eastAsia="Calibri" w:hAnsi="Times New Roman"/>
          <w:color w:val="000000"/>
          <w:szCs w:val="22"/>
          <w:lang w:eastAsia="en-US"/>
        </w:rPr>
        <w:tab/>
        <w:t>FLUXÓMETRO</w:t>
      </w:r>
    </w:p>
    <w:p w14:paraId="64000007"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 xml:space="preserve">Fluxómetro que opere a 3,5 </w:t>
      </w:r>
      <w:proofErr w:type="spellStart"/>
      <w:r w:rsidRPr="00A27653">
        <w:rPr>
          <w:rFonts w:ascii="Times New Roman" w:eastAsia="Calibri" w:hAnsi="Times New Roman"/>
          <w:color w:val="000000"/>
          <w:szCs w:val="22"/>
          <w:lang w:eastAsia="en-US"/>
        </w:rPr>
        <w:t>lpd</w:t>
      </w:r>
      <w:proofErr w:type="spellEnd"/>
      <w:r w:rsidRPr="00A27653">
        <w:rPr>
          <w:rFonts w:ascii="Times New Roman" w:eastAsia="Calibri" w:hAnsi="Times New Roman"/>
          <w:color w:val="000000"/>
          <w:szCs w:val="22"/>
          <w:lang w:eastAsia="en-US"/>
        </w:rPr>
        <w:t xml:space="preserve"> o un fluxómetro que opera a 4,8 </w:t>
      </w:r>
      <w:proofErr w:type="spellStart"/>
      <w:r w:rsidRPr="00A27653">
        <w:rPr>
          <w:rFonts w:ascii="Times New Roman" w:eastAsia="Calibri" w:hAnsi="Times New Roman"/>
          <w:color w:val="000000"/>
          <w:szCs w:val="22"/>
          <w:lang w:eastAsia="en-US"/>
        </w:rPr>
        <w:t>lpd</w:t>
      </w:r>
      <w:proofErr w:type="spellEnd"/>
      <w:r w:rsidRPr="00A27653">
        <w:rPr>
          <w:rFonts w:ascii="Times New Roman" w:eastAsia="Calibri" w:hAnsi="Times New Roman"/>
          <w:color w:val="000000"/>
          <w:szCs w:val="22"/>
          <w:lang w:eastAsia="en-US"/>
        </w:rPr>
        <w:t>.</w:t>
      </w:r>
    </w:p>
    <w:p w14:paraId="6F0E0A58"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8.6.3.</w:t>
      </w:r>
      <w:r w:rsidRPr="00A27653">
        <w:rPr>
          <w:rFonts w:ascii="Times New Roman" w:eastAsia="Calibri" w:hAnsi="Times New Roman"/>
          <w:color w:val="000000"/>
          <w:szCs w:val="22"/>
          <w:lang w:eastAsia="en-US"/>
        </w:rPr>
        <w:tab/>
        <w:t>MINGITORIOS</w:t>
      </w:r>
    </w:p>
    <w:p w14:paraId="08AFD133"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Flujo tipo cascada. Se recomienda su uso con fluxómetro de 1 LPD. Cerámica al alto brillo, grado de calidad “A”, espesor grueso en la cerámica para mayor resistencia, sistema de sujeción reforzado.</w:t>
      </w:r>
    </w:p>
    <w:p w14:paraId="5BF9557C"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8.6.4.</w:t>
      </w:r>
      <w:r w:rsidRPr="00A27653">
        <w:rPr>
          <w:rFonts w:ascii="Times New Roman" w:eastAsia="Calibri" w:hAnsi="Times New Roman"/>
          <w:color w:val="000000"/>
          <w:szCs w:val="22"/>
          <w:lang w:eastAsia="en-US"/>
        </w:rPr>
        <w:tab/>
        <w:t>LAVAMANOS</w:t>
      </w:r>
    </w:p>
    <w:p w14:paraId="07516C96"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Lavabo cerámico de bajo cubierta con rebosadero. Cerámica al alto brillo, grado de calidad "A" y grueso espesor. Color blanco.</w:t>
      </w:r>
    </w:p>
    <w:p w14:paraId="59BF779B"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8.6.5.</w:t>
      </w:r>
      <w:r w:rsidRPr="00A27653">
        <w:rPr>
          <w:rFonts w:ascii="Times New Roman" w:eastAsia="Calibri" w:hAnsi="Times New Roman"/>
          <w:color w:val="000000"/>
          <w:szCs w:val="22"/>
          <w:lang w:eastAsia="en-US"/>
        </w:rPr>
        <w:tab/>
        <w:t>LLAVES</w:t>
      </w:r>
    </w:p>
    <w:p w14:paraId="215C493B"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Mezcladora de lavabo 4". Compatible con lavabos de sobrecubierta o bajocubierta.</w:t>
      </w:r>
    </w:p>
    <w:p w14:paraId="6C7220B1"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Acabado cromo. Presión mínima requerida 0.25kg/cm2.</w:t>
      </w:r>
    </w:p>
    <w:p w14:paraId="715D1258"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9.</w:t>
      </w:r>
      <w:r w:rsidRPr="00A27653">
        <w:rPr>
          <w:rFonts w:ascii="Times New Roman" w:eastAsia="Calibri" w:hAnsi="Times New Roman"/>
          <w:color w:val="000000"/>
          <w:szCs w:val="22"/>
          <w:lang w:eastAsia="en-US"/>
        </w:rPr>
        <w:tab/>
        <w:t>INSTALACIONES SANITARIAS</w:t>
      </w:r>
    </w:p>
    <w:p w14:paraId="1A95B77A"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7CAC8062"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9.1.</w:t>
      </w:r>
      <w:r w:rsidRPr="00A27653">
        <w:rPr>
          <w:rFonts w:ascii="Times New Roman" w:eastAsia="Calibri" w:hAnsi="Times New Roman"/>
          <w:color w:val="000000"/>
          <w:szCs w:val="22"/>
          <w:lang w:eastAsia="en-US"/>
        </w:rPr>
        <w:tab/>
        <w:t>DESCRIPCIÓN DE NORMAS DE MATERIALES E INSTALACIÓN:</w:t>
      </w:r>
    </w:p>
    <w:p w14:paraId="00C6313B"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9.1.1.</w:t>
      </w:r>
      <w:r w:rsidRPr="00A27653">
        <w:rPr>
          <w:rFonts w:ascii="Times New Roman" w:eastAsia="Calibri" w:hAnsi="Times New Roman"/>
          <w:color w:val="000000"/>
          <w:szCs w:val="22"/>
          <w:lang w:eastAsia="en-US"/>
        </w:rPr>
        <w:tab/>
        <w:t>INDICAR EL MATERIAL CONSTRUCTIVO.</w:t>
      </w:r>
    </w:p>
    <w:p w14:paraId="4E5B6133"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9.1.1.1.</w:t>
      </w:r>
      <w:r w:rsidRPr="00A27653">
        <w:rPr>
          <w:rFonts w:ascii="Times New Roman" w:eastAsia="Calibri" w:hAnsi="Times New Roman"/>
          <w:color w:val="000000"/>
          <w:szCs w:val="22"/>
          <w:lang w:eastAsia="en-US"/>
        </w:rPr>
        <w:tab/>
        <w:t>TUBERÍA:</w:t>
      </w:r>
    </w:p>
    <w:p w14:paraId="22ACC749"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 xml:space="preserve">Tubería de pared estructural, fabricada en un proceso de doble extrusión, pared interior lisa y pared exterior corrugada con sistema de unión mecánico, campana – espigo e </w:t>
      </w:r>
      <w:proofErr w:type="spellStart"/>
      <w:r w:rsidRPr="00A27653">
        <w:rPr>
          <w:rFonts w:ascii="Times New Roman" w:eastAsia="Calibri" w:hAnsi="Times New Roman"/>
          <w:color w:val="000000"/>
          <w:szCs w:val="22"/>
          <w:lang w:eastAsia="en-US"/>
        </w:rPr>
        <w:t>hidrosello</w:t>
      </w:r>
      <w:proofErr w:type="spellEnd"/>
      <w:r w:rsidRPr="00A27653">
        <w:rPr>
          <w:rFonts w:ascii="Times New Roman" w:eastAsia="Calibri" w:hAnsi="Times New Roman"/>
          <w:color w:val="000000"/>
          <w:szCs w:val="22"/>
          <w:lang w:eastAsia="en-US"/>
        </w:rPr>
        <w:t xml:space="preserve"> de caucho.</w:t>
      </w:r>
    </w:p>
    <w:p w14:paraId="5965EDB8"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lastRenderedPageBreak/>
        <w:t xml:space="preserve"> </w:t>
      </w:r>
    </w:p>
    <w:p w14:paraId="365DA082"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40E36DF3"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 xml:space="preserve"> </w:t>
      </w:r>
    </w:p>
    <w:p w14:paraId="6FFDCB22"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7666B89B"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Fuente: Manual de MANUAL TÉCNICO TUBOS PVC de Doble Pared Para alcantarillado sanitario, pluvial y para carretera</w:t>
      </w:r>
    </w:p>
    <w:p w14:paraId="5DC509D1"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6B168C56"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5B12B148"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9.1.1.2.</w:t>
      </w:r>
      <w:r w:rsidRPr="00A27653">
        <w:rPr>
          <w:rFonts w:ascii="Times New Roman" w:eastAsia="Calibri" w:hAnsi="Times New Roman"/>
          <w:color w:val="000000"/>
          <w:szCs w:val="22"/>
          <w:lang w:eastAsia="en-US"/>
        </w:rPr>
        <w:tab/>
        <w:t>ACCESORIOS:</w:t>
      </w:r>
    </w:p>
    <w:p w14:paraId="772802AD"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7EC8D82C" w14:textId="71DA2923"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 xml:space="preserve"> Fuente: Manual de MANUAL TÉCNICO TUBOS PVC de Doble Pared Para alcantarillado sanitario, pluvial y para carretera</w:t>
      </w:r>
    </w:p>
    <w:p w14:paraId="7A1A06BE"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5381A37A"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Fuente: Manual de MANUAL TÉCNICO TUBOS PVC de Doble Pared Para alcantarillado sanitario, pluvial y para carretera</w:t>
      </w:r>
    </w:p>
    <w:p w14:paraId="2F697449"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9.1.2.</w:t>
      </w:r>
      <w:r w:rsidRPr="00A27653">
        <w:rPr>
          <w:rFonts w:ascii="Times New Roman" w:eastAsia="Calibri" w:hAnsi="Times New Roman"/>
          <w:color w:val="000000"/>
          <w:szCs w:val="22"/>
          <w:lang w:eastAsia="en-US"/>
        </w:rPr>
        <w:tab/>
        <w:t>ESPECIFICACIONES TÉCNICAS DEL MATERIAL.</w:t>
      </w:r>
    </w:p>
    <w:p w14:paraId="7B9EDCBF"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9.1.2.1.</w:t>
      </w:r>
      <w:r w:rsidRPr="00A27653">
        <w:rPr>
          <w:rFonts w:ascii="Times New Roman" w:eastAsia="Calibri" w:hAnsi="Times New Roman"/>
          <w:color w:val="000000"/>
          <w:szCs w:val="22"/>
          <w:lang w:eastAsia="en-US"/>
        </w:rPr>
        <w:tab/>
        <w:t>TUBERÍA EN MUROS Y SUSPENDIDA EN LOSAS:</w:t>
      </w:r>
    </w:p>
    <w:p w14:paraId="18878F7D"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 xml:space="preserve">Toda la tubería especificada para muros y suspendida en losa de viviendas, amenidades y servicios será de cloruro de polivinilo, PVC, clase 160 PSI para todos los diámetros y debe satisfacer las normas </w:t>
      </w:r>
      <w:proofErr w:type="spellStart"/>
      <w:r w:rsidRPr="00A27653">
        <w:rPr>
          <w:rFonts w:ascii="Times New Roman" w:eastAsia="Calibri" w:hAnsi="Times New Roman"/>
          <w:color w:val="000000"/>
          <w:szCs w:val="22"/>
          <w:lang w:eastAsia="en-US"/>
        </w:rPr>
        <w:t>Commercial</w:t>
      </w:r>
      <w:proofErr w:type="spellEnd"/>
      <w:r w:rsidRPr="00A27653">
        <w:rPr>
          <w:rFonts w:ascii="Times New Roman" w:eastAsia="Calibri" w:hAnsi="Times New Roman"/>
          <w:color w:val="000000"/>
          <w:szCs w:val="22"/>
          <w:lang w:eastAsia="en-US"/>
        </w:rPr>
        <w:t xml:space="preserve"> Standard de fabricación de tuberías ASTM D- 2241, para accesorios cédula 40 de ASTM D-2466.</w:t>
      </w:r>
    </w:p>
    <w:p w14:paraId="23986AE1"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Todos los accesorios serán de la misma calidad y calibres que la tubería especificada.</w:t>
      </w:r>
    </w:p>
    <w:p w14:paraId="2949039F"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 xml:space="preserve"> </w:t>
      </w:r>
    </w:p>
    <w:p w14:paraId="711CA1FB"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727F155D"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Los diámetros para utilizar son desde 2” hasta 6”.</w:t>
      </w:r>
    </w:p>
    <w:p w14:paraId="1063824E"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9.1.2.2.</w:t>
      </w:r>
      <w:r w:rsidRPr="00A27653">
        <w:rPr>
          <w:rFonts w:ascii="Times New Roman" w:eastAsia="Calibri" w:hAnsi="Times New Roman"/>
          <w:color w:val="000000"/>
          <w:szCs w:val="22"/>
          <w:lang w:eastAsia="en-US"/>
        </w:rPr>
        <w:tab/>
        <w:t>TUBERÍA ENTERRADA:</w:t>
      </w:r>
    </w:p>
    <w:p w14:paraId="548AA501"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La materia prima con que se produce la tubería cumple con las especificaciones de la norma ASTM D 1784.</w:t>
      </w:r>
    </w:p>
    <w:p w14:paraId="65E8F9D1"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Las uniones realizadas entre tramos de tubería, así como entre tubos y conexiones, cumplen con los requerimientos establecidos en la norma ASTM D 3212.</w:t>
      </w:r>
    </w:p>
    <w:p w14:paraId="35C4BAB1"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El empaque de hule utilizado para el sello entre tuberías y entre tubos y conexiones cumple con los requerimientos de la norma ASTM F 477.</w:t>
      </w:r>
    </w:p>
    <w:p w14:paraId="573AE421"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La especificación constructiva de la zanja para la colocación de la tubería cumple la norma ASTM D 2321.</w:t>
      </w:r>
    </w:p>
    <w:p w14:paraId="094E98F0"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 xml:space="preserve">Los requerimientos de dimensiones, rigidez y resistencia a impacto para el NOVAFORT </w:t>
      </w:r>
      <w:proofErr w:type="gramStart"/>
      <w:r w:rsidRPr="00A27653">
        <w:rPr>
          <w:rFonts w:ascii="Times New Roman" w:eastAsia="Calibri" w:hAnsi="Times New Roman"/>
          <w:color w:val="000000"/>
          <w:szCs w:val="22"/>
          <w:lang w:eastAsia="en-US"/>
        </w:rPr>
        <w:t>es</w:t>
      </w:r>
      <w:proofErr w:type="gramEnd"/>
      <w:r w:rsidRPr="00A27653">
        <w:rPr>
          <w:rFonts w:ascii="Times New Roman" w:eastAsia="Calibri" w:hAnsi="Times New Roman"/>
          <w:color w:val="000000"/>
          <w:szCs w:val="22"/>
          <w:lang w:eastAsia="en-US"/>
        </w:rPr>
        <w:t xml:space="preserve"> dictado por la norma ASTM F 949 (4”-15”) y la norma AASHTO M-304 (18”-42”)</w:t>
      </w:r>
    </w:p>
    <w:p w14:paraId="274DE596"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9.1.3.</w:t>
      </w:r>
      <w:r w:rsidRPr="00A27653">
        <w:rPr>
          <w:rFonts w:ascii="Times New Roman" w:eastAsia="Calibri" w:hAnsi="Times New Roman"/>
          <w:color w:val="000000"/>
          <w:szCs w:val="22"/>
          <w:lang w:eastAsia="en-US"/>
        </w:rPr>
        <w:tab/>
        <w:t>PARÁMETROS DE DISEÑO.</w:t>
      </w:r>
    </w:p>
    <w:p w14:paraId="726D8062"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9.1.3.1.</w:t>
      </w:r>
      <w:r w:rsidRPr="00A27653">
        <w:rPr>
          <w:rFonts w:ascii="Times New Roman" w:eastAsia="Calibri" w:hAnsi="Times New Roman"/>
          <w:color w:val="000000"/>
          <w:szCs w:val="22"/>
          <w:lang w:eastAsia="en-US"/>
        </w:rPr>
        <w:tab/>
        <w:t>COEFICIENTE DE RUGOSIDAD:</w:t>
      </w:r>
    </w:p>
    <w:p w14:paraId="6DE32815"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El valor de n ha sido determinado experimentalmente para los materiales más comunes usados en sistemas de alcantarillado. Su valor puede ser tan bajo como 0.007 en pruebas de laboratorio para tuberías plásticas y utilizando agua limpia o tan alto como</w:t>
      </w:r>
    </w:p>
    <w:p w14:paraId="3E85B0D4"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0.025 en tuberías de acero corrugado bajo condiciones menos favorables.</w:t>
      </w:r>
    </w:p>
    <w:p w14:paraId="29DD90F4"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9.1.3.2.</w:t>
      </w:r>
      <w:r w:rsidRPr="00A27653">
        <w:rPr>
          <w:rFonts w:ascii="Times New Roman" w:eastAsia="Calibri" w:hAnsi="Times New Roman"/>
          <w:color w:val="000000"/>
          <w:szCs w:val="22"/>
          <w:lang w:eastAsia="en-US"/>
        </w:rPr>
        <w:tab/>
        <w:t>VELOCIDADES RECOMENDADAS:</w:t>
      </w:r>
    </w:p>
    <w:p w14:paraId="340EB59C"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Se recomienda que la velocidad del flujo en líneas de alcantarillados no sea menor de</w:t>
      </w:r>
    </w:p>
    <w:p w14:paraId="3359FAC3"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0.60 m/s para proporcionar una acción de autolimpieza, es decir, capacidad de arrastre de partículas. En casos especiales podrán emplearse velocidades de 0.40 m/s en tramos iniciales y con bajo caudal. La velocidad máxima recomendada es de 5.0 m/s. Para velocidades mayores se deben tomar en cuenta ciertas consideraciones especiales para la disipación de energía, evitando la erosión de los pozos de visita o de cualquier estructura de concreto. Sin embargo, las tuberías NOVAFORT están en capacidad de transportar líquidos con velocidades mayores a los 5 m/s</w:t>
      </w:r>
    </w:p>
    <w:p w14:paraId="1DF5E38F"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9.1.3.3.</w:t>
      </w:r>
      <w:r w:rsidRPr="00A27653">
        <w:rPr>
          <w:rFonts w:ascii="Times New Roman" w:eastAsia="Calibri" w:hAnsi="Times New Roman"/>
          <w:color w:val="000000"/>
          <w:szCs w:val="22"/>
          <w:lang w:eastAsia="en-US"/>
        </w:rPr>
        <w:tab/>
        <w:t>DETERMINACIÓN DE CAUDAL:</w:t>
      </w:r>
    </w:p>
    <w:p w14:paraId="7D279AD2"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En el caso de tuberías el tirante “y” incluyendo parcialmente llenas; donde la profundidad del flujo no sea igual a la del flujo a sección llena (Di), o a media sección (Di/2); se utiliza la Figura 7.4.2 que relaciona los parámetros de caudal (Q) y la velocidad (v) con la altura tirante de flujo (y), partiendo de los datos obtenidos para sección llena.</w:t>
      </w:r>
    </w:p>
    <w:p w14:paraId="736B5B21"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7893F01B"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9.1.4.</w:t>
      </w:r>
      <w:r w:rsidRPr="00A27653">
        <w:rPr>
          <w:rFonts w:ascii="Times New Roman" w:eastAsia="Calibri" w:hAnsi="Times New Roman"/>
          <w:color w:val="000000"/>
          <w:szCs w:val="22"/>
          <w:lang w:eastAsia="en-US"/>
        </w:rPr>
        <w:tab/>
        <w:t>GUÍAS, NORMAS Y REGLAMENTOS.</w:t>
      </w:r>
    </w:p>
    <w:p w14:paraId="5E6F2408"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 xml:space="preserve">Reglamento de las descargas y reúso de aguas residuales y de la disposición de lodos ACUERDO GUBERNATIVO No. 236-2006 Guatemala, 5 de </w:t>
      </w:r>
      <w:proofErr w:type="gramStart"/>
      <w:r w:rsidRPr="00A27653">
        <w:rPr>
          <w:rFonts w:ascii="Times New Roman" w:eastAsia="Calibri" w:hAnsi="Times New Roman"/>
          <w:color w:val="000000"/>
          <w:szCs w:val="22"/>
          <w:lang w:eastAsia="en-US"/>
        </w:rPr>
        <w:t>Mayo</w:t>
      </w:r>
      <w:proofErr w:type="gramEnd"/>
      <w:r w:rsidRPr="00A27653">
        <w:rPr>
          <w:rFonts w:ascii="Times New Roman" w:eastAsia="Calibri" w:hAnsi="Times New Roman"/>
          <w:color w:val="000000"/>
          <w:szCs w:val="22"/>
          <w:lang w:eastAsia="en-US"/>
        </w:rPr>
        <w:t xml:space="preserve"> de 2006</w:t>
      </w:r>
    </w:p>
    <w:p w14:paraId="68C63A38"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Guía Técnica para implementar Plantas de tratamiento de aguas residuales en Guatemala propuesta por el INSTITUTO DE FOMENTO MUNICIPAL -INFOM-</w:t>
      </w:r>
    </w:p>
    <w:p w14:paraId="17B46517"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Manual de Disposición de Aguas Residuales. Cooperativa Técnica República Federal de Alemania, 1984.</w:t>
      </w:r>
    </w:p>
    <w:p w14:paraId="7E96E8A9"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 xml:space="preserve">Manual de diseño Novafort. </w:t>
      </w:r>
      <w:proofErr w:type="spellStart"/>
      <w:r w:rsidRPr="00A27653">
        <w:rPr>
          <w:rFonts w:ascii="Times New Roman" w:eastAsia="Calibri" w:hAnsi="Times New Roman"/>
          <w:color w:val="000000"/>
          <w:szCs w:val="22"/>
          <w:lang w:eastAsia="en-US"/>
        </w:rPr>
        <w:t>Tubosistemas</w:t>
      </w:r>
      <w:proofErr w:type="spellEnd"/>
      <w:r w:rsidRPr="00A27653">
        <w:rPr>
          <w:rFonts w:ascii="Times New Roman" w:eastAsia="Calibri" w:hAnsi="Times New Roman"/>
          <w:color w:val="000000"/>
          <w:szCs w:val="22"/>
          <w:lang w:eastAsia="en-US"/>
        </w:rPr>
        <w:t xml:space="preserve"> para alcantarillado sanitario y pluvial.</w:t>
      </w:r>
    </w:p>
    <w:p w14:paraId="7E689C45"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proofErr w:type="spellStart"/>
      <w:r w:rsidRPr="00A27653">
        <w:rPr>
          <w:rFonts w:ascii="Times New Roman" w:eastAsia="Calibri" w:hAnsi="Times New Roman"/>
          <w:color w:val="000000"/>
          <w:szCs w:val="22"/>
          <w:lang w:eastAsia="en-US"/>
        </w:rPr>
        <w:t>Amanco</w:t>
      </w:r>
      <w:proofErr w:type="spellEnd"/>
      <w:r w:rsidRPr="00A27653">
        <w:rPr>
          <w:rFonts w:ascii="Times New Roman" w:eastAsia="Calibri" w:hAnsi="Times New Roman"/>
          <w:color w:val="000000"/>
          <w:szCs w:val="22"/>
          <w:lang w:eastAsia="en-US"/>
        </w:rPr>
        <w:t xml:space="preserve"> Wavin, 2021. Versión actualizada 10 de marzo de 2021</w:t>
      </w:r>
    </w:p>
    <w:p w14:paraId="0E3FED18"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 xml:space="preserve"> </w:t>
      </w:r>
    </w:p>
    <w:p w14:paraId="45776618"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10947F4A"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MUNICIPALIDAD DE GUATEMALA. REGLAMENTO PARA DISEÑO Y CONSTRUCCIÓN DE DRENAJES. NORMAS Y REGLAMENTO DE DRENAJES PARA LA CIUDAD DE GUATEMALA.</w:t>
      </w:r>
    </w:p>
    <w:p w14:paraId="2BE3E1D2" w14:textId="6B299AF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r>
      <w:r w:rsidR="00BC4667" w:rsidRPr="00A27653">
        <w:rPr>
          <w:rFonts w:ascii="Times New Roman" w:eastAsia="Calibri" w:hAnsi="Times New Roman"/>
          <w:color w:val="000000"/>
          <w:szCs w:val="22"/>
          <w:lang w:eastAsia="en-US"/>
        </w:rPr>
        <w:t>Guía</w:t>
      </w:r>
      <w:r w:rsidRPr="00A27653">
        <w:rPr>
          <w:rFonts w:ascii="Times New Roman" w:eastAsia="Calibri" w:hAnsi="Times New Roman"/>
          <w:color w:val="000000"/>
          <w:szCs w:val="22"/>
          <w:lang w:eastAsia="en-US"/>
        </w:rPr>
        <w:t xml:space="preserve"> de requisitos para la evaluación de sistemas de agua y alcantarillado de proyectos en la Ciudad de Guatemala. Unidad de Evaluación de Proyectos de Agua y Alcantarillado (Ventanilla Única y Contribución por Mejoras) EMPAGUA de la Municipalidad de Guatemala.</w:t>
      </w:r>
    </w:p>
    <w:p w14:paraId="605B0802"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1F4F22F3"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9.2.</w:t>
      </w:r>
      <w:r w:rsidRPr="00A27653">
        <w:rPr>
          <w:rFonts w:ascii="Times New Roman" w:eastAsia="Calibri" w:hAnsi="Times New Roman"/>
          <w:color w:val="000000"/>
          <w:szCs w:val="22"/>
          <w:lang w:eastAsia="en-US"/>
        </w:rPr>
        <w:tab/>
        <w:t>PARÁMETROS DE INSTALACIÓN:</w:t>
      </w:r>
    </w:p>
    <w:p w14:paraId="39FC7F2C"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9.2.1.</w:t>
      </w:r>
      <w:r w:rsidRPr="00A27653">
        <w:rPr>
          <w:rFonts w:ascii="Times New Roman" w:eastAsia="Calibri" w:hAnsi="Times New Roman"/>
          <w:color w:val="000000"/>
          <w:szCs w:val="22"/>
          <w:lang w:eastAsia="en-US"/>
        </w:rPr>
        <w:tab/>
        <w:t>ALCANCE DE LOS TRABAJOS:</w:t>
      </w:r>
    </w:p>
    <w:p w14:paraId="26A78BFC"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El alcance de las obras para la red de drenajes de aguas pluviales será la siguiente:</w:t>
      </w:r>
    </w:p>
    <w:p w14:paraId="04B20397"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Excavación y relleno de zanjas.</w:t>
      </w:r>
    </w:p>
    <w:p w14:paraId="3C405E72"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Suministro, instalación, soporte y prueba de tubería.</w:t>
      </w:r>
    </w:p>
    <w:p w14:paraId="0C7403CC"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Construcción de cajas de unión de acuerdo con los detalles en planos.</w:t>
      </w:r>
    </w:p>
    <w:p w14:paraId="59C26E6B"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1312D963"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9.2.2.</w:t>
      </w:r>
      <w:r w:rsidRPr="00A27653">
        <w:rPr>
          <w:rFonts w:ascii="Times New Roman" w:eastAsia="Calibri" w:hAnsi="Times New Roman"/>
          <w:color w:val="000000"/>
          <w:szCs w:val="22"/>
          <w:lang w:eastAsia="en-US"/>
        </w:rPr>
        <w:tab/>
        <w:t>TUBERIA PARA DRENAJE SANITARIO:</w:t>
      </w:r>
    </w:p>
    <w:p w14:paraId="552A6EA0"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Las especificaciones de la tubería para instalar en el proyecto de drenaje sanitario del proyecto Centro de Retornados, son las siguientes:</w:t>
      </w:r>
    </w:p>
    <w:p w14:paraId="57E2CAC9"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9.2.2.1.</w:t>
      </w:r>
      <w:r w:rsidRPr="00A27653">
        <w:rPr>
          <w:rFonts w:ascii="Times New Roman" w:eastAsia="Calibri" w:hAnsi="Times New Roman"/>
          <w:color w:val="000000"/>
          <w:szCs w:val="22"/>
          <w:lang w:eastAsia="en-US"/>
        </w:rPr>
        <w:tab/>
        <w:t>ACCESORIOS PARA TUBERÍA TDP DE DRENAJE SANITARIO</w:t>
      </w:r>
    </w:p>
    <w:p w14:paraId="328A78FB"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 xml:space="preserve"> </w:t>
      </w:r>
    </w:p>
    <w:p w14:paraId="0550079C"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 xml:space="preserve"> </w:t>
      </w:r>
    </w:p>
    <w:p w14:paraId="6A4097A7"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4B06D369"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Fuente: Manual de MANUAL TÉCNICO TUBOS PVC de Doble Pared Para alcantarillado sanitario, pluvial y para carretera</w:t>
      </w:r>
    </w:p>
    <w:p w14:paraId="5FE932A4"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9.2.3.</w:t>
      </w:r>
      <w:r w:rsidRPr="00A27653">
        <w:rPr>
          <w:rFonts w:ascii="Times New Roman" w:eastAsia="Calibri" w:hAnsi="Times New Roman"/>
          <w:color w:val="000000"/>
          <w:szCs w:val="22"/>
          <w:lang w:eastAsia="en-US"/>
        </w:rPr>
        <w:tab/>
        <w:t>INSTALACION DE TUBERIA PARA DRENAJE SANITARIO:</w:t>
      </w:r>
    </w:p>
    <w:p w14:paraId="1048B312"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9.2.3.1.</w:t>
      </w:r>
      <w:r w:rsidRPr="00A27653">
        <w:rPr>
          <w:rFonts w:ascii="Times New Roman" w:eastAsia="Calibri" w:hAnsi="Times New Roman"/>
          <w:color w:val="000000"/>
          <w:szCs w:val="22"/>
          <w:lang w:eastAsia="en-US"/>
        </w:rPr>
        <w:tab/>
        <w:t>UBICACION EN PLANIMETRIA</w:t>
      </w:r>
    </w:p>
    <w:p w14:paraId="500A65D2"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Los planos de la instalación muestran la posición de la tubería de drenajes sanitario. La tubería será colocada en el lugar y en la alineación definitiva para evitar posteriormente tener que forzarla a posiciones diferentes en detrimento del tubo y los soportes.</w:t>
      </w:r>
    </w:p>
    <w:p w14:paraId="39F1108A"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9.2.3.2.</w:t>
      </w:r>
      <w:r w:rsidRPr="00A27653">
        <w:rPr>
          <w:rFonts w:ascii="Times New Roman" w:eastAsia="Calibri" w:hAnsi="Times New Roman"/>
          <w:color w:val="000000"/>
          <w:szCs w:val="22"/>
          <w:lang w:eastAsia="en-US"/>
        </w:rPr>
        <w:tab/>
        <w:t>INSTALACION DE TUBERIA DE DRENAJE PLUVIAL EN AREAS VEHICULARES</w:t>
      </w:r>
    </w:p>
    <w:p w14:paraId="70146382"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9.2.3.2.1.</w:t>
      </w:r>
      <w:r w:rsidRPr="00A27653">
        <w:rPr>
          <w:rFonts w:ascii="Times New Roman" w:eastAsia="Calibri" w:hAnsi="Times New Roman"/>
          <w:color w:val="000000"/>
          <w:szCs w:val="22"/>
          <w:lang w:eastAsia="en-US"/>
        </w:rPr>
        <w:tab/>
        <w:t>PROFUNDIDAD DE LA ZANJA:</w:t>
      </w:r>
    </w:p>
    <w:p w14:paraId="593A6936"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La profundidad de la zanja en los lugares donde existe paso de vehículos será la necesaria para dejar como recubrimiento mínimo 1 metro arriba de la corona del tubo.</w:t>
      </w:r>
    </w:p>
    <w:p w14:paraId="30E3278B"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En todo caso, la profundidad estará marcada en los planos de perfil de tubería enterrada.</w:t>
      </w:r>
    </w:p>
    <w:p w14:paraId="1570BAB1"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9.2.3.2.2.</w:t>
      </w:r>
      <w:r w:rsidRPr="00A27653">
        <w:rPr>
          <w:rFonts w:ascii="Times New Roman" w:eastAsia="Calibri" w:hAnsi="Times New Roman"/>
          <w:color w:val="000000"/>
          <w:szCs w:val="22"/>
          <w:lang w:eastAsia="en-US"/>
        </w:rPr>
        <w:tab/>
        <w:t>ANCHO Y FORMA DE LA ZANJA</w:t>
      </w:r>
    </w:p>
    <w:p w14:paraId="20B6DECF"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228E821E"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50228759"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57AF41FD"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79836CE2"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41F52279"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743845E9"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2DDEE033"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5A4BD560"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2A459D57"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4BB1E7CC"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03166B1C"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 xml:space="preserve">Fuente: Manual de diseño Novafort. </w:t>
      </w:r>
      <w:proofErr w:type="spellStart"/>
      <w:r w:rsidRPr="00A27653">
        <w:rPr>
          <w:rFonts w:ascii="Times New Roman" w:eastAsia="Calibri" w:hAnsi="Times New Roman"/>
          <w:color w:val="000000"/>
          <w:szCs w:val="22"/>
          <w:lang w:eastAsia="en-US"/>
        </w:rPr>
        <w:t>Tubosistemas</w:t>
      </w:r>
      <w:proofErr w:type="spellEnd"/>
      <w:r w:rsidRPr="00A27653">
        <w:rPr>
          <w:rFonts w:ascii="Times New Roman" w:eastAsia="Calibri" w:hAnsi="Times New Roman"/>
          <w:color w:val="000000"/>
          <w:szCs w:val="22"/>
          <w:lang w:eastAsia="en-US"/>
        </w:rPr>
        <w:t xml:space="preserve"> para alcantarillado sanitario y pluvial.</w:t>
      </w:r>
    </w:p>
    <w:p w14:paraId="0E17B72A"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 xml:space="preserve"> </w:t>
      </w:r>
    </w:p>
    <w:p w14:paraId="3EF4323C" w14:textId="75DFB5AF"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Tomando en cuenta el método de zanjeo y el tipo de tubería a instalarse, la forma de la zanja será rectangular o trapezoidal y su ancho deberá ser lo suficiente para la correcta instalación de la tubería, así como para permitir una adecuada compactación del relleno a los lados de la misma. Según el tipo de tubería que se use, los puntos de unión o de instalación de accesorios deberán ser lo suficiente anchos para permitir la correcta instalación. La zanja se deberá cortar simétrica al eje de la tubería y tendrá un ancho mínimo igual al ancho de la tubería más 40 cm. El ancho máximo sin contar el ocupado por el tubo será de 60 cm.</w:t>
      </w:r>
    </w:p>
    <w:p w14:paraId="39380DC6"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Si los materiales que se encuentran en la profundidad de la instalación de la tubería no son satisfactorios, ya sea porque pueda causar asentamiento desigual o ser nocivo a la tubería, se deberán remover en todo lo ancho de la zanja en una profundidad de 20 cm o más si lo indica el supervisor, reponiéndolo con material satisfactorio debidamente compactado.</w:t>
      </w:r>
    </w:p>
    <w:p w14:paraId="367546F0"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9.2.3.2.3.</w:t>
      </w:r>
      <w:r w:rsidRPr="00A27653">
        <w:rPr>
          <w:rFonts w:ascii="Times New Roman" w:eastAsia="Calibri" w:hAnsi="Times New Roman"/>
          <w:color w:val="000000"/>
          <w:szCs w:val="22"/>
          <w:lang w:eastAsia="en-US"/>
        </w:rPr>
        <w:tab/>
        <w:t>LA ZANJA LLEVARÁ LA PENDIENTE DE LA TUBERÍA: Si la zanja es muy profunda o el material inestable, se deberán colocar soportes de madera a todo lo largo para prevenir que cualquier derrumbe pueda causar daño físico al trabajador.</w:t>
      </w:r>
    </w:p>
    <w:p w14:paraId="4C2F2F24"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 xml:space="preserve"> </w:t>
      </w:r>
    </w:p>
    <w:p w14:paraId="49305CA2"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5F5E838C"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 xml:space="preserve"> </w:t>
      </w:r>
    </w:p>
    <w:p w14:paraId="47E983C0"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64703A2F"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 xml:space="preserve">Fuente: Manual de diseño Novafort. </w:t>
      </w:r>
      <w:proofErr w:type="spellStart"/>
      <w:r w:rsidRPr="00A27653">
        <w:rPr>
          <w:rFonts w:ascii="Times New Roman" w:eastAsia="Calibri" w:hAnsi="Times New Roman"/>
          <w:color w:val="000000"/>
          <w:szCs w:val="22"/>
          <w:lang w:eastAsia="en-US"/>
        </w:rPr>
        <w:t>Tubosistemas</w:t>
      </w:r>
      <w:proofErr w:type="spellEnd"/>
      <w:r w:rsidRPr="00A27653">
        <w:rPr>
          <w:rFonts w:ascii="Times New Roman" w:eastAsia="Calibri" w:hAnsi="Times New Roman"/>
          <w:color w:val="000000"/>
          <w:szCs w:val="22"/>
          <w:lang w:eastAsia="en-US"/>
        </w:rPr>
        <w:t xml:space="preserve"> para alcantarillado sanitario y pluvial.</w:t>
      </w:r>
    </w:p>
    <w:p w14:paraId="40750A52"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6519BF2F"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9.2.3.2.4.</w:t>
      </w:r>
      <w:r w:rsidRPr="00A27653">
        <w:rPr>
          <w:rFonts w:ascii="Times New Roman" w:eastAsia="Calibri" w:hAnsi="Times New Roman"/>
          <w:color w:val="000000"/>
          <w:szCs w:val="22"/>
          <w:lang w:eastAsia="en-US"/>
        </w:rPr>
        <w:tab/>
        <w:t>TENDIDO DE TUBERIA:</w:t>
      </w:r>
    </w:p>
    <w:p w14:paraId="27C84E49"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Una vez hecha la zanja, se procederá a colocar la tubería. Dependiendo de diámetro y peso de la tubería, se deberá bajar en forma manual o con la retroexcavadora.</w:t>
      </w:r>
    </w:p>
    <w:p w14:paraId="4A7002B0"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Se deberá evitar que la tubería caiga dentro de la zanja, se llene de tierra o quede desalineada.</w:t>
      </w:r>
    </w:p>
    <w:p w14:paraId="4623EE4F"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9.2.3.2.5.</w:t>
      </w:r>
      <w:r w:rsidRPr="00A27653">
        <w:rPr>
          <w:rFonts w:ascii="Times New Roman" w:eastAsia="Calibri" w:hAnsi="Times New Roman"/>
          <w:color w:val="000000"/>
          <w:szCs w:val="22"/>
          <w:lang w:eastAsia="en-US"/>
        </w:rPr>
        <w:tab/>
        <w:t>COMPACTACION DE ZANJAS PARA TUBERIA:</w:t>
      </w:r>
    </w:p>
    <w:p w14:paraId="6B7A1467"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Para la compactación se utilizará el mismo material excavado, si el tipo de material lo permite. Si no fuera material adecuado, se deberá rellenar la zanja con material selecto.</w:t>
      </w:r>
    </w:p>
    <w:p w14:paraId="456DAD1A"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Se deberá rellenar en capas de 0.10 metros y proceder a su compactación.</w:t>
      </w:r>
    </w:p>
    <w:p w14:paraId="1B9697B0"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El método de compactación podrá ser manual o con “bailarina” y chequeado por el supervisor hasta obtener el valor de compactación deseado.</w:t>
      </w:r>
    </w:p>
    <w:p w14:paraId="7B45FB39"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9.2.4.</w:t>
      </w:r>
      <w:r w:rsidRPr="00A27653">
        <w:rPr>
          <w:rFonts w:ascii="Times New Roman" w:eastAsia="Calibri" w:hAnsi="Times New Roman"/>
          <w:color w:val="000000"/>
          <w:szCs w:val="22"/>
          <w:lang w:eastAsia="en-US"/>
        </w:rPr>
        <w:tab/>
        <w:t>INSTALACION DE TUBERIA DE DRENAJE PLUVIAL EN AREAS PEATONALES</w:t>
      </w:r>
    </w:p>
    <w:p w14:paraId="46C3B411"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9.2.4.1.</w:t>
      </w:r>
      <w:r w:rsidRPr="00A27653">
        <w:rPr>
          <w:rFonts w:ascii="Times New Roman" w:eastAsia="Calibri" w:hAnsi="Times New Roman"/>
          <w:color w:val="000000"/>
          <w:szCs w:val="22"/>
          <w:lang w:eastAsia="en-US"/>
        </w:rPr>
        <w:tab/>
        <w:t>TUBERIAS ENTERRADAS</w:t>
      </w:r>
    </w:p>
    <w:p w14:paraId="5CDFBB7A"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La profundidad de la zanja en los lugares donde no existe paso de vehículos será la necesaria para dejar como recubrimiento mínimo, a menos que se indique expresamente otra cosa en los planos y perfiles, 0.6 metros arriba de la corona del tubo.</w:t>
      </w:r>
    </w:p>
    <w:p w14:paraId="0E282638"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10.</w:t>
      </w:r>
      <w:r w:rsidRPr="00A27653">
        <w:rPr>
          <w:rFonts w:ascii="Times New Roman" w:eastAsia="Calibri" w:hAnsi="Times New Roman"/>
          <w:color w:val="000000"/>
          <w:szCs w:val="22"/>
          <w:lang w:eastAsia="en-US"/>
        </w:rPr>
        <w:tab/>
        <w:t>INSTALACIONES PLUVIALES</w:t>
      </w:r>
    </w:p>
    <w:p w14:paraId="354EDF3A"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10.1.</w:t>
      </w:r>
      <w:r w:rsidRPr="00A27653">
        <w:rPr>
          <w:rFonts w:ascii="Times New Roman" w:eastAsia="Calibri" w:hAnsi="Times New Roman"/>
          <w:color w:val="000000"/>
          <w:szCs w:val="22"/>
          <w:lang w:eastAsia="en-US"/>
        </w:rPr>
        <w:tab/>
        <w:t>DESCRIPCIÓN DE NORMAS DE MATERIALES E INSTALACIÓN</w:t>
      </w:r>
    </w:p>
    <w:p w14:paraId="2DD68658"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19ECA262"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El alcance de las obras para la red de drenajes de aguas pluviales será la siguiente:</w:t>
      </w:r>
    </w:p>
    <w:p w14:paraId="261E36DC"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Excavación y relleno de zanjas.</w:t>
      </w:r>
    </w:p>
    <w:p w14:paraId="702B64AB"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Suministro, instalación, soporte y prueba de tubería.</w:t>
      </w:r>
    </w:p>
    <w:p w14:paraId="4BC1F0A7"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 xml:space="preserve"> </w:t>
      </w:r>
    </w:p>
    <w:p w14:paraId="6A3A0C4F"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4FF72424"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Construcción de cajas de unión de acuerdo con los detalles en planos.</w:t>
      </w:r>
    </w:p>
    <w:p w14:paraId="57325311"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La elaboración del diseño de presente diseño del drenaje pluvial, está basado en estándares que será necesario tomarlos en cuenta a la hora de ejecutar dicho proyecto.</w:t>
      </w:r>
    </w:p>
    <w:p w14:paraId="40A992C9" w14:textId="77777777" w:rsidR="00A27653" w:rsidRPr="00A27653" w:rsidRDefault="00A27653" w:rsidP="00A27653">
      <w:pPr>
        <w:autoSpaceDE w:val="0"/>
        <w:autoSpaceDN w:val="0"/>
        <w:adjustRightInd w:val="0"/>
        <w:jc w:val="both"/>
        <w:rPr>
          <w:rFonts w:ascii="Times New Roman" w:eastAsia="Calibri" w:hAnsi="Times New Roman"/>
          <w:color w:val="000000"/>
          <w:szCs w:val="22"/>
          <w:lang w:val="en-US" w:eastAsia="en-US"/>
        </w:rPr>
      </w:pPr>
      <w:r w:rsidRPr="00A27653">
        <w:rPr>
          <w:rFonts w:ascii="Times New Roman" w:eastAsia="Calibri" w:hAnsi="Times New Roman"/>
          <w:color w:val="000000"/>
          <w:szCs w:val="22"/>
          <w:lang w:val="en-US" w:eastAsia="en-US"/>
        </w:rPr>
        <w:lastRenderedPageBreak/>
        <w:t>•</w:t>
      </w:r>
      <w:r w:rsidRPr="00A27653">
        <w:rPr>
          <w:rFonts w:ascii="Times New Roman" w:eastAsia="Calibri" w:hAnsi="Times New Roman"/>
          <w:color w:val="000000"/>
          <w:szCs w:val="22"/>
          <w:lang w:val="en-US" w:eastAsia="en-US"/>
        </w:rPr>
        <w:tab/>
        <w:t>ASTM F949</w:t>
      </w:r>
    </w:p>
    <w:p w14:paraId="4470FA2B" w14:textId="77777777" w:rsidR="00A27653" w:rsidRPr="00A27653" w:rsidRDefault="00A27653" w:rsidP="00A27653">
      <w:pPr>
        <w:autoSpaceDE w:val="0"/>
        <w:autoSpaceDN w:val="0"/>
        <w:adjustRightInd w:val="0"/>
        <w:jc w:val="both"/>
        <w:rPr>
          <w:rFonts w:ascii="Times New Roman" w:eastAsia="Calibri" w:hAnsi="Times New Roman"/>
          <w:color w:val="000000"/>
          <w:szCs w:val="22"/>
          <w:lang w:val="en-US" w:eastAsia="en-US"/>
        </w:rPr>
      </w:pPr>
      <w:r w:rsidRPr="00A27653">
        <w:rPr>
          <w:rFonts w:ascii="Times New Roman" w:eastAsia="Calibri" w:hAnsi="Times New Roman"/>
          <w:color w:val="000000"/>
          <w:szCs w:val="22"/>
          <w:lang w:val="en-US" w:eastAsia="en-US"/>
        </w:rPr>
        <w:t>•</w:t>
      </w:r>
      <w:r w:rsidRPr="00A27653">
        <w:rPr>
          <w:rFonts w:ascii="Times New Roman" w:eastAsia="Calibri" w:hAnsi="Times New Roman"/>
          <w:color w:val="000000"/>
          <w:szCs w:val="22"/>
          <w:lang w:val="en-US" w:eastAsia="en-US"/>
        </w:rPr>
        <w:tab/>
        <w:t>AASHTO</w:t>
      </w:r>
    </w:p>
    <w:p w14:paraId="3D3A1299" w14:textId="77777777" w:rsidR="00A27653" w:rsidRPr="00A27653" w:rsidRDefault="00A27653" w:rsidP="00A27653">
      <w:pPr>
        <w:autoSpaceDE w:val="0"/>
        <w:autoSpaceDN w:val="0"/>
        <w:adjustRightInd w:val="0"/>
        <w:jc w:val="both"/>
        <w:rPr>
          <w:rFonts w:ascii="Times New Roman" w:eastAsia="Calibri" w:hAnsi="Times New Roman"/>
          <w:color w:val="000000"/>
          <w:szCs w:val="22"/>
          <w:lang w:val="en-US" w:eastAsia="en-US"/>
        </w:rPr>
      </w:pPr>
      <w:r w:rsidRPr="00A27653">
        <w:rPr>
          <w:rFonts w:ascii="Times New Roman" w:eastAsia="Calibri" w:hAnsi="Times New Roman"/>
          <w:color w:val="000000"/>
          <w:szCs w:val="22"/>
          <w:lang w:val="en-US" w:eastAsia="en-US"/>
        </w:rPr>
        <w:t>•</w:t>
      </w:r>
      <w:r w:rsidRPr="00A27653">
        <w:rPr>
          <w:rFonts w:ascii="Times New Roman" w:eastAsia="Calibri" w:hAnsi="Times New Roman"/>
          <w:color w:val="000000"/>
          <w:szCs w:val="22"/>
          <w:lang w:val="en-US" w:eastAsia="en-US"/>
        </w:rPr>
        <w:tab/>
        <w:t>INTERNATIONAL PLUMBING CODE</w:t>
      </w:r>
    </w:p>
    <w:p w14:paraId="77E83C4A"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NATIONAL PLUMBING CODE HANDBOOK</w:t>
      </w:r>
    </w:p>
    <w:p w14:paraId="235DD261"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REGLAMENTO DE EMPAGUA</w:t>
      </w:r>
    </w:p>
    <w:p w14:paraId="615C9181"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NORMAS FHA</w:t>
      </w:r>
    </w:p>
    <w:p w14:paraId="3746D988"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NORMAS INFOM</w:t>
      </w:r>
    </w:p>
    <w:p w14:paraId="3413FDD0"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7DFCF25F"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10.1.1.</w:t>
      </w:r>
      <w:r w:rsidRPr="00A27653">
        <w:rPr>
          <w:rFonts w:ascii="Times New Roman" w:eastAsia="Calibri" w:hAnsi="Times New Roman"/>
          <w:color w:val="000000"/>
          <w:szCs w:val="22"/>
          <w:lang w:eastAsia="en-US"/>
        </w:rPr>
        <w:tab/>
        <w:t>ESPECIFICACIONES</w:t>
      </w:r>
      <w:r w:rsidRPr="00A27653">
        <w:rPr>
          <w:rFonts w:ascii="Times New Roman" w:eastAsia="Calibri" w:hAnsi="Times New Roman"/>
          <w:color w:val="000000"/>
          <w:szCs w:val="22"/>
          <w:lang w:eastAsia="en-US"/>
        </w:rPr>
        <w:tab/>
        <w:t>DE</w:t>
      </w:r>
      <w:r w:rsidRPr="00A27653">
        <w:rPr>
          <w:rFonts w:ascii="Times New Roman" w:eastAsia="Calibri" w:hAnsi="Times New Roman"/>
          <w:color w:val="000000"/>
          <w:szCs w:val="22"/>
          <w:lang w:eastAsia="en-US"/>
        </w:rPr>
        <w:tab/>
        <w:t>TUBERÍA</w:t>
      </w:r>
      <w:r w:rsidRPr="00A27653">
        <w:rPr>
          <w:rFonts w:ascii="Times New Roman" w:eastAsia="Calibri" w:hAnsi="Times New Roman"/>
          <w:color w:val="000000"/>
          <w:szCs w:val="22"/>
          <w:lang w:eastAsia="en-US"/>
        </w:rPr>
        <w:tab/>
        <w:t>PARA</w:t>
      </w:r>
      <w:r w:rsidRPr="00A27653">
        <w:rPr>
          <w:rFonts w:ascii="Times New Roman" w:eastAsia="Calibri" w:hAnsi="Times New Roman"/>
          <w:color w:val="000000"/>
          <w:szCs w:val="22"/>
          <w:lang w:eastAsia="en-US"/>
        </w:rPr>
        <w:tab/>
        <w:t>DRENAJE ENTERRADO.</w:t>
      </w:r>
    </w:p>
    <w:p w14:paraId="6BEB103C"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Tubería de pared estructural, fabricada en un proceso de doble extrusión, pared interior lisa y pared exterior corrugada con sistema de unión mecánico, campana</w:t>
      </w:r>
    </w:p>
    <w:p w14:paraId="33DAB307"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 xml:space="preserve">– espigo e </w:t>
      </w:r>
      <w:proofErr w:type="spellStart"/>
      <w:r w:rsidRPr="00A27653">
        <w:rPr>
          <w:rFonts w:ascii="Times New Roman" w:eastAsia="Calibri" w:hAnsi="Times New Roman"/>
          <w:color w:val="000000"/>
          <w:szCs w:val="22"/>
          <w:lang w:eastAsia="en-US"/>
        </w:rPr>
        <w:t>hidrosello</w:t>
      </w:r>
      <w:proofErr w:type="spellEnd"/>
      <w:r w:rsidRPr="00A27653">
        <w:rPr>
          <w:rFonts w:ascii="Times New Roman" w:eastAsia="Calibri" w:hAnsi="Times New Roman"/>
          <w:color w:val="000000"/>
          <w:szCs w:val="22"/>
          <w:lang w:eastAsia="en-US"/>
        </w:rPr>
        <w:t xml:space="preserve"> de caucho.</w:t>
      </w:r>
    </w:p>
    <w:p w14:paraId="6812D64D"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 xml:space="preserve"> </w:t>
      </w:r>
    </w:p>
    <w:p w14:paraId="35B4421B"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Fuente: Manual de MANUAL TÉCNICO TUBOS PVC de Doble Pared Para alcantarillado sanitario, pluvial y para Carretera</w:t>
      </w:r>
    </w:p>
    <w:p w14:paraId="5F58E27E"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6FF5F00F"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10.1.2.</w:t>
      </w:r>
      <w:r w:rsidRPr="00A27653">
        <w:rPr>
          <w:rFonts w:ascii="Times New Roman" w:eastAsia="Calibri" w:hAnsi="Times New Roman"/>
          <w:color w:val="000000"/>
          <w:szCs w:val="22"/>
          <w:lang w:eastAsia="en-US"/>
        </w:rPr>
        <w:tab/>
        <w:t>Accesorios para tubería TDP de drenaje pluvial:</w:t>
      </w:r>
    </w:p>
    <w:p w14:paraId="49076C0E"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 xml:space="preserve"> </w:t>
      </w:r>
    </w:p>
    <w:p w14:paraId="3CC9319F"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0D81871E"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 xml:space="preserve"> </w:t>
      </w:r>
    </w:p>
    <w:p w14:paraId="3D294205"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72D69587"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Fuente: Manual de MANUAL TÉCNICO TUBOS PVC de Doble Pared Para alcantarillado sanitario, pluvial y para carretera</w:t>
      </w:r>
    </w:p>
    <w:p w14:paraId="2D334279"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 xml:space="preserve"> </w:t>
      </w:r>
    </w:p>
    <w:p w14:paraId="2289DB20"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1DA812D3"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 xml:space="preserve"> </w:t>
      </w:r>
    </w:p>
    <w:p w14:paraId="53E6E4F8"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5BEAE066"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Fuente: Manual de MANUAL TÉCNICO TUBOS PVC de Doble Pared Para alcantarillado sanitario, pluvial y para carretera</w:t>
      </w:r>
    </w:p>
    <w:p w14:paraId="5CAF8EE1"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 xml:space="preserve"> </w:t>
      </w:r>
    </w:p>
    <w:p w14:paraId="5609482C"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3D22922E"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 xml:space="preserve"> </w:t>
      </w:r>
    </w:p>
    <w:p w14:paraId="724ED283"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Fuente: Manual de MANUAL TÉCNICO TUBOS PVC de Doble Pared Para alcantarillado sanitario, pluvial y para Carretera</w:t>
      </w:r>
    </w:p>
    <w:p w14:paraId="54EEE9B1"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6C88201D"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10.2.</w:t>
      </w:r>
      <w:r w:rsidRPr="00A27653">
        <w:rPr>
          <w:rFonts w:ascii="Times New Roman" w:eastAsia="Calibri" w:hAnsi="Times New Roman"/>
          <w:color w:val="000000"/>
          <w:szCs w:val="22"/>
          <w:lang w:eastAsia="en-US"/>
        </w:rPr>
        <w:tab/>
        <w:t>INSTALACION DE TUBERIA PARA DRENAJE PLUVIAL</w:t>
      </w:r>
    </w:p>
    <w:p w14:paraId="3D44D931"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10.2.1.</w:t>
      </w:r>
      <w:r w:rsidRPr="00A27653">
        <w:rPr>
          <w:rFonts w:ascii="Times New Roman" w:eastAsia="Calibri" w:hAnsi="Times New Roman"/>
          <w:color w:val="000000"/>
          <w:szCs w:val="22"/>
          <w:lang w:eastAsia="en-US"/>
        </w:rPr>
        <w:tab/>
        <w:t>UBICACION EN PLANIMETRIA</w:t>
      </w:r>
    </w:p>
    <w:p w14:paraId="154D12EE"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Los planos de la instalación muestran la posición de la tubería de drenajes pluviales. La tubería será colocada en el lugar y en la alineación definitiva para evitar posteriormente tener que forzarla a posiciones diferentes en detrimento del tubo y los soportes.</w:t>
      </w:r>
    </w:p>
    <w:p w14:paraId="48DBFE0A"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10.2.2.</w:t>
      </w:r>
      <w:r w:rsidRPr="00A27653">
        <w:rPr>
          <w:rFonts w:ascii="Times New Roman" w:eastAsia="Calibri" w:hAnsi="Times New Roman"/>
          <w:color w:val="000000"/>
          <w:szCs w:val="22"/>
          <w:lang w:eastAsia="en-US"/>
        </w:rPr>
        <w:tab/>
        <w:t>INSTALACION DE TUBERIA DE DRENAJE PLUVIAL EN AREAS VEHICULARES</w:t>
      </w:r>
    </w:p>
    <w:p w14:paraId="3AADADB5"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10.2.2.1.</w:t>
      </w:r>
      <w:r w:rsidRPr="00A27653">
        <w:rPr>
          <w:rFonts w:ascii="Times New Roman" w:eastAsia="Calibri" w:hAnsi="Times New Roman"/>
          <w:color w:val="000000"/>
          <w:szCs w:val="22"/>
          <w:lang w:eastAsia="en-US"/>
        </w:rPr>
        <w:tab/>
        <w:t>PROFUNDIDAD DE LA ZANJA:</w:t>
      </w:r>
    </w:p>
    <w:p w14:paraId="33EDDE0F"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 xml:space="preserve"> </w:t>
      </w:r>
    </w:p>
    <w:p w14:paraId="476CAF1B"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2F86677E"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La profundidad de la zanja en los lugares donde existe paso de vehículos será la necesaria para dejar como recubrimiento mínimo 1 metro arriba de la corona del tubo.</w:t>
      </w:r>
    </w:p>
    <w:p w14:paraId="523D0797"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En todo caso, la profundidad estará marcada en los planos de perfil de tubería enterrada.</w:t>
      </w:r>
    </w:p>
    <w:p w14:paraId="0A591C40"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179D8869"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1186F0B9"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00CDB51D"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6EA9CD15"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032D9DA3"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080530BD"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4A2B70D1"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7F93EE8F"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6933E366"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06A7BF36"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6C5F3775"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1BDF703A"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Fuente: Manual de MANUAL TÉCNICO TUBOS PVC de Doble Pared Para alcantarillado sanitario, pluvial y para carretera</w:t>
      </w:r>
    </w:p>
    <w:p w14:paraId="65E12A20"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0A19EB4A"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1F642B4F"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60DE3CBB"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Fuente: Manual de MANUAL TÉCNICO TUBOS PVC de Doble Pared Para alcantarillado sanitario, pluvial y para carretera</w:t>
      </w:r>
    </w:p>
    <w:p w14:paraId="48CCB344"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Tomando en cuenta el método de zanjeo y el tipo de tubería a instalarse, la forma de la zanja será rectangular o trapezoidal y su ancho deberá ser lo suficiente para la correcta instalación de la tubería, así como para permitir una adecuada compactación del relleno a los lados de la misma. Según el tipo de tubería que se use, los puntos de unión o de instalación de accesorios</w:t>
      </w:r>
    </w:p>
    <w:p w14:paraId="70060FAB"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 xml:space="preserve"> </w:t>
      </w:r>
    </w:p>
    <w:p w14:paraId="3393F667"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4E609AD1"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deberán ser lo suficiente anchos para permitir la correcta instalación. La zanja se deberá cortar simétrica al eje de la tubería y tendrá un ancho mínimo igual al ancho de la tubería más 40 cm. El ancho máximo sin contar el ocupado por el tubo será de 60 cm.</w:t>
      </w:r>
    </w:p>
    <w:p w14:paraId="6B20361D"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Si los materiales que se encuentran en la profundidad de la instalación de la tubería no son satisfactorios, ya sea porque pueda causar asentamiento desigual o ser nocivo a la tubería, se deberán remover en todo lo ancho de la zanja en una profundidad de 20 cm o más si lo indica el supervisor, reponiéndolo con material satisfactorio debidamente compactado.</w:t>
      </w:r>
    </w:p>
    <w:p w14:paraId="4DC8EFD8"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10.2.2.2.</w:t>
      </w:r>
      <w:r w:rsidRPr="00A27653">
        <w:rPr>
          <w:rFonts w:ascii="Times New Roman" w:eastAsia="Calibri" w:hAnsi="Times New Roman"/>
          <w:color w:val="000000"/>
          <w:szCs w:val="22"/>
          <w:lang w:eastAsia="en-US"/>
        </w:rPr>
        <w:tab/>
        <w:t>LA ZANJA LLEVARÁ LA PENDIENTE DE LA TUBERÍA:</w:t>
      </w:r>
    </w:p>
    <w:p w14:paraId="30A60E4E"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Si la zanja es muy profunda o el material inestable, se deberán colocar soportes de madera a todo lo largo para prevenir que cualquier derrumbe pueda causar daño físico al trabajador.</w:t>
      </w:r>
    </w:p>
    <w:p w14:paraId="6D7FA232"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547E4C87"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0C4AB455"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Fuente: Manual de MANUAL TÉCNICO TUBOS PVC de Doble Pared Para alcantarillado sanitario, pluvial y para carretera</w:t>
      </w:r>
    </w:p>
    <w:p w14:paraId="28F4D9D3"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10.3.</w:t>
      </w:r>
      <w:r w:rsidRPr="00A27653">
        <w:rPr>
          <w:rFonts w:ascii="Times New Roman" w:eastAsia="Calibri" w:hAnsi="Times New Roman"/>
          <w:color w:val="000000"/>
          <w:szCs w:val="22"/>
          <w:lang w:eastAsia="en-US"/>
        </w:rPr>
        <w:tab/>
        <w:t>TENDIDO DE TUBERIA:</w:t>
      </w:r>
    </w:p>
    <w:p w14:paraId="54554F4A"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Una vez hecha la zanja, se procederá a colocar la tubería. Dependiendo de diámetro y peso de la tubería, se deberá bajar en forma manual o con la retroexcavadora.</w:t>
      </w:r>
    </w:p>
    <w:p w14:paraId="67CFA957"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Se deberá evitar que la tubería caiga dentro de la zanja, se llene de tierra o quede desalineada.</w:t>
      </w:r>
    </w:p>
    <w:p w14:paraId="24A0582E"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3663B3EE"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29FA756C"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10.4.</w:t>
      </w:r>
      <w:r w:rsidRPr="00A27653">
        <w:rPr>
          <w:rFonts w:ascii="Times New Roman" w:eastAsia="Calibri" w:hAnsi="Times New Roman"/>
          <w:color w:val="000000"/>
          <w:szCs w:val="22"/>
          <w:lang w:eastAsia="en-US"/>
        </w:rPr>
        <w:tab/>
        <w:t>COMPACTACION DE ZANJAS PARA TUBERIA:</w:t>
      </w:r>
    </w:p>
    <w:p w14:paraId="08778069"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 xml:space="preserve"> </w:t>
      </w:r>
    </w:p>
    <w:p w14:paraId="6B85FD41"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0E51A0E6"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Para la compactación se utilizará el mismo material excavado, si el tipo de material lo permite. Si no fuera material adecuado, se deberá rellenar la zanja con material selecto.</w:t>
      </w:r>
    </w:p>
    <w:p w14:paraId="6C965BD0"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Se deberá rellenar en capas de 0.10 metros y proceder a su compactación.</w:t>
      </w:r>
    </w:p>
    <w:p w14:paraId="5F4D269C"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El método de compactación podrá ser manual o con “bailarina” y chequeado por el supervisor hasta obtener el valor de compactación deseado.</w:t>
      </w:r>
    </w:p>
    <w:p w14:paraId="2DCF05D1"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7A1EDFEA"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0D810EAB"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10.5.</w:t>
      </w:r>
      <w:r w:rsidRPr="00A27653">
        <w:rPr>
          <w:rFonts w:ascii="Times New Roman" w:eastAsia="Calibri" w:hAnsi="Times New Roman"/>
          <w:color w:val="000000"/>
          <w:szCs w:val="22"/>
          <w:lang w:eastAsia="en-US"/>
        </w:rPr>
        <w:tab/>
        <w:t>INSTALACION DE TUBERIA DE DRENAJE PLUVIAL EN AREAS PEATONALES</w:t>
      </w:r>
    </w:p>
    <w:p w14:paraId="2B1C76F0"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lastRenderedPageBreak/>
        <w:t>La profundidad de la zanja en los lugares donde no existe paso de vehículos será la necesaria para dejar como recubrimiento mínimo, a menos que se indique expresamente otra cosa en los planos y perfiles, 0.6 metros arriba de la corona del tubo.</w:t>
      </w:r>
    </w:p>
    <w:p w14:paraId="7E0B8D3B"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1C360B8B"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606597C1"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11.</w:t>
      </w:r>
      <w:r w:rsidRPr="00A27653">
        <w:rPr>
          <w:rFonts w:ascii="Times New Roman" w:eastAsia="Calibri" w:hAnsi="Times New Roman"/>
          <w:color w:val="000000"/>
          <w:szCs w:val="22"/>
          <w:lang w:eastAsia="en-US"/>
        </w:rPr>
        <w:tab/>
        <w:t>PLANTA DE TRATAMIENTO</w:t>
      </w:r>
    </w:p>
    <w:p w14:paraId="347BB329"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11.1.</w:t>
      </w:r>
      <w:r w:rsidRPr="00A27653">
        <w:rPr>
          <w:rFonts w:ascii="Times New Roman" w:eastAsia="Calibri" w:hAnsi="Times New Roman"/>
          <w:color w:val="000000"/>
          <w:szCs w:val="22"/>
          <w:lang w:eastAsia="en-US"/>
        </w:rPr>
        <w:tab/>
        <w:t>DIAGRAMA DE FLUJO DE PLANTA DE TRATAMIENTO DE AGUS RESIDUALES:</w:t>
      </w:r>
    </w:p>
    <w:p w14:paraId="089502E4"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El diagrama utilizado en la planta de tratamiento se tomará como base a lo indicado en la Guía para la evaluación de sistemas de tratamiento de aguas residuales de EMPAGUA.</w:t>
      </w:r>
    </w:p>
    <w:p w14:paraId="579C93E2"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2CE221A4"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Fuente: GUÍA PARA EVALUACIÓN DE SISTEMAS DE TRATAMIENTO DE AGUAS RESIDUALES,</w:t>
      </w:r>
    </w:p>
    <w:p w14:paraId="7A315090"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Unidad de Evaluación de Proyectos de Agua y Alcantarillado (Ventanilla Única y Contribución por Mejoras) EMPAGUA de la Municipalidad de Guatemala.</w:t>
      </w:r>
    </w:p>
    <w:p w14:paraId="50ECA929"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222265AF"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1CA3B19C"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11.2.</w:t>
      </w:r>
      <w:r w:rsidRPr="00A27653">
        <w:rPr>
          <w:rFonts w:ascii="Times New Roman" w:eastAsia="Calibri" w:hAnsi="Times New Roman"/>
          <w:color w:val="000000"/>
          <w:szCs w:val="22"/>
          <w:lang w:eastAsia="en-US"/>
        </w:rPr>
        <w:tab/>
        <w:t>ESPECIFICACIONES TÉCNICAS DE MATERIALES A UTILIZAR:</w:t>
      </w:r>
    </w:p>
    <w:p w14:paraId="4EE168A4"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11.2.1.</w:t>
      </w:r>
      <w:r w:rsidRPr="00A27653">
        <w:rPr>
          <w:rFonts w:ascii="Times New Roman" w:eastAsia="Calibri" w:hAnsi="Times New Roman"/>
          <w:color w:val="000000"/>
          <w:szCs w:val="22"/>
          <w:lang w:eastAsia="en-US"/>
        </w:rPr>
        <w:tab/>
        <w:t>MUROS DE CONCRETO, LOSA DE CIMENTACIÓN Y LOSA DE TECHO:</w:t>
      </w:r>
    </w:p>
    <w:p w14:paraId="3878338B"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 xml:space="preserve"> </w:t>
      </w:r>
    </w:p>
    <w:p w14:paraId="765E3EC6"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189B259F"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 xml:space="preserve">Concreto </w:t>
      </w:r>
      <w:proofErr w:type="spellStart"/>
      <w:r w:rsidRPr="00A27653">
        <w:rPr>
          <w:rFonts w:ascii="Times New Roman" w:eastAsia="Calibri" w:hAnsi="Times New Roman"/>
          <w:color w:val="000000"/>
          <w:szCs w:val="22"/>
          <w:lang w:eastAsia="en-US"/>
        </w:rPr>
        <w:t>F´c</w:t>
      </w:r>
      <w:proofErr w:type="spellEnd"/>
      <w:r w:rsidRPr="00A27653">
        <w:rPr>
          <w:rFonts w:ascii="Times New Roman" w:eastAsia="Calibri" w:hAnsi="Times New Roman"/>
          <w:color w:val="000000"/>
          <w:szCs w:val="22"/>
          <w:lang w:eastAsia="en-US"/>
        </w:rPr>
        <w:t>=4000 PSI</w:t>
      </w:r>
    </w:p>
    <w:p w14:paraId="12FF09A0"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Acero de refuerzo:</w:t>
      </w:r>
    </w:p>
    <w:p w14:paraId="5D20EFD4"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r>
      <w:proofErr w:type="spellStart"/>
      <w:r w:rsidRPr="00A27653">
        <w:rPr>
          <w:rFonts w:ascii="Times New Roman" w:eastAsia="Calibri" w:hAnsi="Times New Roman"/>
          <w:color w:val="000000"/>
          <w:szCs w:val="22"/>
          <w:lang w:eastAsia="en-US"/>
        </w:rPr>
        <w:t>Fy</w:t>
      </w:r>
      <w:proofErr w:type="spellEnd"/>
      <w:r w:rsidRPr="00A27653">
        <w:rPr>
          <w:rFonts w:ascii="Times New Roman" w:eastAsia="Calibri" w:hAnsi="Times New Roman"/>
          <w:color w:val="000000"/>
          <w:szCs w:val="22"/>
          <w:lang w:eastAsia="en-US"/>
        </w:rPr>
        <w:t>= 40,000 PSI.</w:t>
      </w:r>
    </w:p>
    <w:p w14:paraId="539D7467"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Para detalles estructurales referirse a los planos PTAR-03/04 y PTAR-04/04</w:t>
      </w:r>
    </w:p>
    <w:p w14:paraId="5A876BD5"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1840B11C"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11.2.2.</w:t>
      </w:r>
      <w:r w:rsidRPr="00A27653">
        <w:rPr>
          <w:rFonts w:ascii="Times New Roman" w:eastAsia="Calibri" w:hAnsi="Times New Roman"/>
          <w:color w:val="000000"/>
          <w:szCs w:val="22"/>
          <w:lang w:eastAsia="en-US"/>
        </w:rPr>
        <w:tab/>
        <w:t>IMPERMEABILIZACIÓN:</w:t>
      </w:r>
    </w:p>
    <w:p w14:paraId="04D733C7"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 xml:space="preserve">Será impermeabilizado con material </w:t>
      </w:r>
      <w:proofErr w:type="spellStart"/>
      <w:r w:rsidRPr="00A27653">
        <w:rPr>
          <w:rFonts w:ascii="Times New Roman" w:eastAsia="Calibri" w:hAnsi="Times New Roman"/>
          <w:color w:val="000000"/>
          <w:szCs w:val="22"/>
          <w:lang w:eastAsia="en-US"/>
        </w:rPr>
        <w:t>cementicio</w:t>
      </w:r>
      <w:proofErr w:type="spellEnd"/>
      <w:r w:rsidRPr="00A27653">
        <w:rPr>
          <w:rFonts w:ascii="Times New Roman" w:eastAsia="Calibri" w:hAnsi="Times New Roman"/>
          <w:color w:val="000000"/>
          <w:szCs w:val="22"/>
          <w:lang w:eastAsia="en-US"/>
        </w:rPr>
        <w:t xml:space="preserve"> </w:t>
      </w:r>
      <w:proofErr w:type="spellStart"/>
      <w:r w:rsidRPr="00A27653">
        <w:rPr>
          <w:rFonts w:ascii="Times New Roman" w:eastAsia="Calibri" w:hAnsi="Times New Roman"/>
          <w:color w:val="000000"/>
          <w:szCs w:val="22"/>
          <w:lang w:eastAsia="en-US"/>
        </w:rPr>
        <w:t>mas</w:t>
      </w:r>
      <w:proofErr w:type="spellEnd"/>
      <w:r w:rsidRPr="00A27653">
        <w:rPr>
          <w:rFonts w:ascii="Times New Roman" w:eastAsia="Calibri" w:hAnsi="Times New Roman"/>
          <w:color w:val="000000"/>
          <w:szCs w:val="22"/>
          <w:lang w:eastAsia="en-US"/>
        </w:rPr>
        <w:t xml:space="preserve"> un recubrimiento </w:t>
      </w:r>
      <w:proofErr w:type="spellStart"/>
      <w:r w:rsidRPr="00A27653">
        <w:rPr>
          <w:rFonts w:ascii="Times New Roman" w:eastAsia="Calibri" w:hAnsi="Times New Roman"/>
          <w:color w:val="000000"/>
          <w:szCs w:val="22"/>
          <w:lang w:eastAsia="en-US"/>
        </w:rPr>
        <w:t>epóxico</w:t>
      </w:r>
      <w:proofErr w:type="spellEnd"/>
      <w:r w:rsidRPr="00A27653">
        <w:rPr>
          <w:rFonts w:ascii="Times New Roman" w:eastAsia="Calibri" w:hAnsi="Times New Roman"/>
          <w:color w:val="000000"/>
          <w:szCs w:val="22"/>
          <w:lang w:eastAsia="en-US"/>
        </w:rPr>
        <w:t xml:space="preserve"> contra el ataque químico de las aguas residuales.</w:t>
      </w:r>
    </w:p>
    <w:p w14:paraId="4EE9FA09"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012A1393"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463D9BE2"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11.3.</w:t>
      </w:r>
      <w:r w:rsidRPr="00A27653">
        <w:rPr>
          <w:rFonts w:ascii="Times New Roman" w:eastAsia="Calibri" w:hAnsi="Times New Roman"/>
          <w:color w:val="000000"/>
          <w:szCs w:val="22"/>
          <w:lang w:eastAsia="en-US"/>
        </w:rPr>
        <w:tab/>
        <w:t>DESCRIPCIÓN DE LAS NORMAS A UTILIZAR:</w:t>
      </w:r>
    </w:p>
    <w:p w14:paraId="449210C2"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 xml:space="preserve">Reglamento de las descargas y reúso de aguas residuales y de la disposición de lodos ACUERDO GUBERNATIVO No. 236-2006 Guatemala, 5 de </w:t>
      </w:r>
      <w:proofErr w:type="gramStart"/>
      <w:r w:rsidRPr="00A27653">
        <w:rPr>
          <w:rFonts w:ascii="Times New Roman" w:eastAsia="Calibri" w:hAnsi="Times New Roman"/>
          <w:color w:val="000000"/>
          <w:szCs w:val="22"/>
          <w:lang w:eastAsia="en-US"/>
        </w:rPr>
        <w:t>Mayo</w:t>
      </w:r>
      <w:proofErr w:type="gramEnd"/>
      <w:r w:rsidRPr="00A27653">
        <w:rPr>
          <w:rFonts w:ascii="Times New Roman" w:eastAsia="Calibri" w:hAnsi="Times New Roman"/>
          <w:color w:val="000000"/>
          <w:szCs w:val="22"/>
          <w:lang w:eastAsia="en-US"/>
        </w:rPr>
        <w:t xml:space="preserve"> de 2006</w:t>
      </w:r>
    </w:p>
    <w:p w14:paraId="3299B7BF"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Guía Técnica para implementar Plantas de tratamiento de aguas residuales en Guatemala propuesta por el INSTITUTO DE FOMENTO MUNICIPAL -INFOM-</w:t>
      </w:r>
    </w:p>
    <w:p w14:paraId="4E2AE8FC"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Manual de Disposición de Aguas Residuales. Cooperativa Técnica República Federal de Alemania, 1984.</w:t>
      </w:r>
    </w:p>
    <w:p w14:paraId="5F38FA24"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Guía de requisitos para la evaluación de sistemas de agua y alcantarillado de proyectos en la Ciudad de Guatemala</w:t>
      </w:r>
    </w:p>
    <w:p w14:paraId="27E114D1"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00E85252"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6BAAD6B3"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11.4.</w:t>
      </w:r>
      <w:r w:rsidRPr="00A27653">
        <w:rPr>
          <w:rFonts w:ascii="Times New Roman" w:eastAsia="Calibri" w:hAnsi="Times New Roman"/>
          <w:color w:val="000000"/>
          <w:szCs w:val="22"/>
          <w:lang w:eastAsia="en-US"/>
        </w:rPr>
        <w:tab/>
        <w:t>SISTEMA DE RECOLECCIÓN Y CONDUCCIÓN AGUAS RESIDUALES</w:t>
      </w:r>
    </w:p>
    <w:p w14:paraId="13FB72BD"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11.4.1.</w:t>
      </w:r>
      <w:r w:rsidRPr="00A27653">
        <w:rPr>
          <w:rFonts w:ascii="Times New Roman" w:eastAsia="Calibri" w:hAnsi="Times New Roman"/>
          <w:color w:val="000000"/>
          <w:szCs w:val="22"/>
          <w:lang w:eastAsia="en-US"/>
        </w:rPr>
        <w:tab/>
        <w:t>SISTEMA</w:t>
      </w:r>
      <w:r w:rsidRPr="00A27653">
        <w:rPr>
          <w:rFonts w:ascii="Times New Roman" w:eastAsia="Calibri" w:hAnsi="Times New Roman"/>
          <w:color w:val="000000"/>
          <w:szCs w:val="22"/>
          <w:lang w:eastAsia="en-US"/>
        </w:rPr>
        <w:tab/>
        <w:t>DE</w:t>
      </w:r>
      <w:r w:rsidRPr="00A27653">
        <w:rPr>
          <w:rFonts w:ascii="Times New Roman" w:eastAsia="Calibri" w:hAnsi="Times New Roman"/>
          <w:color w:val="000000"/>
          <w:szCs w:val="22"/>
          <w:lang w:eastAsia="en-US"/>
        </w:rPr>
        <w:tab/>
        <w:t>DRENANE</w:t>
      </w:r>
      <w:r w:rsidRPr="00A27653">
        <w:rPr>
          <w:rFonts w:ascii="Times New Roman" w:eastAsia="Calibri" w:hAnsi="Times New Roman"/>
          <w:color w:val="000000"/>
          <w:szCs w:val="22"/>
          <w:lang w:eastAsia="en-US"/>
        </w:rPr>
        <w:tab/>
        <w:t>SANITARIO</w:t>
      </w:r>
      <w:r w:rsidRPr="00A27653">
        <w:rPr>
          <w:rFonts w:ascii="Times New Roman" w:eastAsia="Calibri" w:hAnsi="Times New Roman"/>
          <w:color w:val="000000"/>
          <w:szCs w:val="22"/>
          <w:lang w:eastAsia="en-US"/>
        </w:rPr>
        <w:tab/>
        <w:t>PARA</w:t>
      </w:r>
      <w:r w:rsidRPr="00A27653">
        <w:rPr>
          <w:rFonts w:ascii="Times New Roman" w:eastAsia="Calibri" w:hAnsi="Times New Roman"/>
          <w:color w:val="000000"/>
          <w:szCs w:val="22"/>
          <w:lang w:eastAsia="en-US"/>
        </w:rPr>
        <w:tab/>
        <w:t>AGUAS RESIDUALES:</w:t>
      </w:r>
    </w:p>
    <w:p w14:paraId="306D7648"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Se contará con una red general de drenaje sanitario, que recolectara las aguas residuales negras y grises, es decir de los inodoros, lavamanos, duchas, lavatrastos y lavadoras. No drenaje pluvial.</w:t>
      </w:r>
    </w:p>
    <w:p w14:paraId="725F75C7"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El agua residual llegará a una planta de tratamiento de aguas residuales ubicada en la parte inferior del proyecto. Ver imagen No. 2.4</w:t>
      </w:r>
    </w:p>
    <w:p w14:paraId="53365A63"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 xml:space="preserve"> </w:t>
      </w:r>
    </w:p>
    <w:p w14:paraId="673674FC"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2F32CC67"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 xml:space="preserve"> </w:t>
      </w:r>
    </w:p>
    <w:p w14:paraId="4AD851A0"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Imagen No. 2.4: Ubicación de la PTAR.</w:t>
      </w:r>
    </w:p>
    <w:p w14:paraId="67C04888"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56AB6857"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08CEB0C5"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lastRenderedPageBreak/>
        <w:t>12.</w:t>
      </w:r>
      <w:r w:rsidRPr="00A27653">
        <w:rPr>
          <w:rFonts w:ascii="Times New Roman" w:eastAsia="Calibri" w:hAnsi="Times New Roman"/>
          <w:color w:val="000000"/>
          <w:szCs w:val="22"/>
          <w:lang w:eastAsia="en-US"/>
        </w:rPr>
        <w:tab/>
        <w:t>INSTALACIONES ELECTRICAS</w:t>
      </w:r>
    </w:p>
    <w:p w14:paraId="7C601CE7"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12.1.</w:t>
      </w:r>
      <w:r w:rsidRPr="00A27653">
        <w:rPr>
          <w:rFonts w:ascii="Times New Roman" w:eastAsia="Calibri" w:hAnsi="Times New Roman"/>
          <w:color w:val="000000"/>
          <w:szCs w:val="22"/>
          <w:lang w:eastAsia="en-US"/>
        </w:rPr>
        <w:tab/>
        <w:t>GENERALIDADES</w:t>
      </w:r>
    </w:p>
    <w:p w14:paraId="0E41B19F"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12.1.1.</w:t>
      </w:r>
      <w:r w:rsidRPr="00A27653">
        <w:rPr>
          <w:rFonts w:ascii="Times New Roman" w:eastAsia="Calibri" w:hAnsi="Times New Roman"/>
          <w:color w:val="000000"/>
          <w:szCs w:val="22"/>
          <w:lang w:eastAsia="en-US"/>
        </w:rPr>
        <w:tab/>
        <w:t>NORMAS Y CÓDIGOS:</w:t>
      </w:r>
    </w:p>
    <w:p w14:paraId="0947E33A"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El propósito de la aplicación de Normas y Códigos Internacionales y locales diseño de Instalaciones Eléctricas del Proyecto es la seguridad práctica de personas, propiedades y equipos, de los riesgos del uso de la electricidad. Los códigos y normas contienen provisiones que son consideradas necesarias para la seguridad. Se aplicarán las normas y códigos en las ediciones más recientes, como referencia, lo especificado en planos, deberá cumplir, en la medida que el mercado local lo permite, con todas las exigencias de códigos tales como:</w:t>
      </w:r>
    </w:p>
    <w:p w14:paraId="25E4DFF8"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5870F3E6"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Código Nacional Eléctrico de los Estados Unidos de América (NEC) 2011.</w:t>
      </w:r>
    </w:p>
    <w:p w14:paraId="0049B159" w14:textId="77777777" w:rsidR="00A27653" w:rsidRPr="00A27653" w:rsidRDefault="00A27653" w:rsidP="00A27653">
      <w:pPr>
        <w:autoSpaceDE w:val="0"/>
        <w:autoSpaceDN w:val="0"/>
        <w:adjustRightInd w:val="0"/>
        <w:jc w:val="both"/>
        <w:rPr>
          <w:rFonts w:ascii="Times New Roman" w:eastAsia="Calibri" w:hAnsi="Times New Roman"/>
          <w:color w:val="000000"/>
          <w:szCs w:val="22"/>
          <w:lang w:val="en-US" w:eastAsia="en-US"/>
        </w:rPr>
      </w:pPr>
      <w:r w:rsidRPr="00A27653">
        <w:rPr>
          <w:rFonts w:ascii="Times New Roman" w:eastAsia="Calibri" w:hAnsi="Times New Roman"/>
          <w:color w:val="000000"/>
          <w:szCs w:val="22"/>
          <w:lang w:val="en-US" w:eastAsia="en-US"/>
        </w:rPr>
        <w:t>-NEMA: National Electrical Manufacturer Association.</w:t>
      </w:r>
    </w:p>
    <w:p w14:paraId="2625614D" w14:textId="77777777" w:rsidR="00A27653" w:rsidRPr="00A27653" w:rsidRDefault="00A27653" w:rsidP="00A27653">
      <w:pPr>
        <w:autoSpaceDE w:val="0"/>
        <w:autoSpaceDN w:val="0"/>
        <w:adjustRightInd w:val="0"/>
        <w:jc w:val="both"/>
        <w:rPr>
          <w:rFonts w:ascii="Times New Roman" w:eastAsia="Calibri" w:hAnsi="Times New Roman"/>
          <w:color w:val="000000"/>
          <w:szCs w:val="22"/>
          <w:lang w:val="en-US" w:eastAsia="en-US"/>
        </w:rPr>
      </w:pPr>
      <w:r w:rsidRPr="00A27653">
        <w:rPr>
          <w:rFonts w:ascii="Times New Roman" w:eastAsia="Calibri" w:hAnsi="Times New Roman"/>
          <w:color w:val="000000"/>
          <w:szCs w:val="22"/>
          <w:lang w:val="en-US" w:eastAsia="en-US"/>
        </w:rPr>
        <w:t>-UL: Underwriters Laboratories. IES: luminating Engineering Society</w:t>
      </w:r>
    </w:p>
    <w:p w14:paraId="031282C5"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IEEE: Instituto de Ingenieros Eléctricos y Electrónicos</w:t>
      </w:r>
    </w:p>
    <w:p w14:paraId="782F7F7A"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-Energuate: Manual de Normas de Acometidas.</w:t>
      </w:r>
    </w:p>
    <w:p w14:paraId="513A6934"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48E2C070"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-AUTORIDAD DE ENERGIA ELECTRICA. (ENERGUATE)</w:t>
      </w:r>
    </w:p>
    <w:p w14:paraId="3DFD6CA4"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a) Para la construcción de estas instalaciones se deberá conocer y cumplir con los códigos, normas y registros de la Autoridad de energía eléctrica que tenga cobertura sobre el área donde se encuentra el proyecto.</w:t>
      </w:r>
    </w:p>
    <w:p w14:paraId="3E3DB542"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605F6B1C"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12.1.2.</w:t>
      </w:r>
      <w:r w:rsidRPr="00A27653">
        <w:rPr>
          <w:rFonts w:ascii="Times New Roman" w:eastAsia="Calibri" w:hAnsi="Times New Roman"/>
          <w:color w:val="000000"/>
          <w:szCs w:val="22"/>
          <w:lang w:eastAsia="en-US"/>
        </w:rPr>
        <w:tab/>
        <w:t>ACOMETIDA GENERAL ELÉCTRICO</w:t>
      </w:r>
    </w:p>
    <w:p w14:paraId="479CEB9C"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a)</w:t>
      </w:r>
      <w:r w:rsidRPr="00A27653">
        <w:rPr>
          <w:rFonts w:ascii="Times New Roman" w:eastAsia="Calibri" w:hAnsi="Times New Roman"/>
          <w:color w:val="000000"/>
          <w:szCs w:val="22"/>
          <w:lang w:eastAsia="en-US"/>
        </w:rPr>
        <w:tab/>
        <w:t>Viene de (Banco de transformadores en poste 3x50KVA = 150KVA)</w:t>
      </w:r>
    </w:p>
    <w:p w14:paraId="6A07A2BA"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más cercano del edificio al proyecto secundario 208Y/120V. 3Ø 60 Hertz.</w:t>
      </w:r>
    </w:p>
    <w:p w14:paraId="41FA985B"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45B3AC48"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b)</w:t>
      </w:r>
      <w:r w:rsidRPr="00A27653">
        <w:rPr>
          <w:rFonts w:ascii="Times New Roman" w:eastAsia="Calibri" w:hAnsi="Times New Roman"/>
          <w:color w:val="000000"/>
          <w:szCs w:val="22"/>
          <w:lang w:eastAsia="en-US"/>
        </w:rPr>
        <w:tab/>
        <w:t>Medición Tipo III en poste</w:t>
      </w:r>
    </w:p>
    <w:p w14:paraId="18E51C1A"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c)</w:t>
      </w:r>
      <w:r w:rsidRPr="00A27653">
        <w:rPr>
          <w:rFonts w:ascii="Times New Roman" w:eastAsia="Calibri" w:hAnsi="Times New Roman"/>
          <w:color w:val="000000"/>
          <w:szCs w:val="22"/>
          <w:lang w:eastAsia="en-US"/>
        </w:rPr>
        <w:tab/>
        <w:t>Transferencia Automática 3x400A</w:t>
      </w:r>
    </w:p>
    <w:p w14:paraId="2873D209"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 xml:space="preserve"> </w:t>
      </w:r>
    </w:p>
    <w:p w14:paraId="7E4D6CC5"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7B52C909"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d)</w:t>
      </w:r>
      <w:r w:rsidRPr="00A27653">
        <w:rPr>
          <w:rFonts w:ascii="Times New Roman" w:eastAsia="Calibri" w:hAnsi="Times New Roman"/>
          <w:color w:val="000000"/>
          <w:szCs w:val="22"/>
          <w:lang w:eastAsia="en-US"/>
        </w:rPr>
        <w:tab/>
        <w:t>Planta de emergencia 100kw</w:t>
      </w:r>
    </w:p>
    <w:p w14:paraId="31F747B2"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e)</w:t>
      </w:r>
      <w:r w:rsidRPr="00A27653">
        <w:rPr>
          <w:rFonts w:ascii="Times New Roman" w:eastAsia="Calibri" w:hAnsi="Times New Roman"/>
          <w:color w:val="000000"/>
          <w:szCs w:val="22"/>
          <w:lang w:eastAsia="en-US"/>
        </w:rPr>
        <w:tab/>
        <w:t>Un interruptor principal de 3x400A Amperios RH</w:t>
      </w:r>
    </w:p>
    <w:p w14:paraId="76864104"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f)</w:t>
      </w:r>
      <w:r w:rsidRPr="00A27653">
        <w:rPr>
          <w:rFonts w:ascii="Times New Roman" w:eastAsia="Calibri" w:hAnsi="Times New Roman"/>
          <w:color w:val="000000"/>
          <w:szCs w:val="22"/>
          <w:lang w:eastAsia="en-US"/>
        </w:rPr>
        <w:tab/>
        <w:t xml:space="preserve">Un Tablero principal de distribución con principal 3x400A Amperios ajustable con supresor de </w:t>
      </w:r>
      <w:proofErr w:type="spellStart"/>
      <w:r w:rsidRPr="00A27653">
        <w:rPr>
          <w:rFonts w:ascii="Times New Roman" w:eastAsia="Calibri" w:hAnsi="Times New Roman"/>
          <w:color w:val="000000"/>
          <w:szCs w:val="22"/>
          <w:lang w:eastAsia="en-US"/>
        </w:rPr>
        <w:t>transientes</w:t>
      </w:r>
      <w:proofErr w:type="spellEnd"/>
      <w:r w:rsidRPr="00A27653">
        <w:rPr>
          <w:rFonts w:ascii="Times New Roman" w:eastAsia="Calibri" w:hAnsi="Times New Roman"/>
          <w:color w:val="000000"/>
          <w:szCs w:val="22"/>
          <w:lang w:eastAsia="en-US"/>
        </w:rPr>
        <w:t xml:space="preserve"> 3x30A 240KA. Con los siguientes ramales:</w:t>
      </w:r>
    </w:p>
    <w:p w14:paraId="17792FFD"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 xml:space="preserve">2 de 2x70 </w:t>
      </w:r>
      <w:proofErr w:type="spellStart"/>
      <w:r w:rsidRPr="00A27653">
        <w:rPr>
          <w:rFonts w:ascii="Times New Roman" w:eastAsia="Calibri" w:hAnsi="Times New Roman"/>
          <w:color w:val="000000"/>
          <w:szCs w:val="22"/>
          <w:lang w:eastAsia="en-US"/>
        </w:rPr>
        <w:t>Amp</w:t>
      </w:r>
      <w:proofErr w:type="spellEnd"/>
      <w:r w:rsidRPr="00A27653">
        <w:rPr>
          <w:rFonts w:ascii="Times New Roman" w:eastAsia="Calibri" w:hAnsi="Times New Roman"/>
          <w:color w:val="000000"/>
          <w:szCs w:val="22"/>
          <w:lang w:eastAsia="en-US"/>
        </w:rPr>
        <w:t xml:space="preserve">, 2 de 2x80 </w:t>
      </w:r>
      <w:proofErr w:type="spellStart"/>
      <w:r w:rsidRPr="00A27653">
        <w:rPr>
          <w:rFonts w:ascii="Times New Roman" w:eastAsia="Calibri" w:hAnsi="Times New Roman"/>
          <w:color w:val="000000"/>
          <w:szCs w:val="22"/>
          <w:lang w:eastAsia="en-US"/>
        </w:rPr>
        <w:t>Amp</w:t>
      </w:r>
      <w:proofErr w:type="spellEnd"/>
      <w:r w:rsidRPr="00A27653">
        <w:rPr>
          <w:rFonts w:ascii="Times New Roman" w:eastAsia="Calibri" w:hAnsi="Times New Roman"/>
          <w:color w:val="000000"/>
          <w:szCs w:val="22"/>
          <w:lang w:eastAsia="en-US"/>
        </w:rPr>
        <w:t xml:space="preserve">, 2 de 2x100 </w:t>
      </w:r>
      <w:proofErr w:type="spellStart"/>
      <w:r w:rsidRPr="00A27653">
        <w:rPr>
          <w:rFonts w:ascii="Times New Roman" w:eastAsia="Calibri" w:hAnsi="Times New Roman"/>
          <w:color w:val="000000"/>
          <w:szCs w:val="22"/>
          <w:lang w:eastAsia="en-US"/>
        </w:rPr>
        <w:t>Amp</w:t>
      </w:r>
      <w:proofErr w:type="spellEnd"/>
      <w:r w:rsidRPr="00A27653">
        <w:rPr>
          <w:rFonts w:ascii="Times New Roman" w:eastAsia="Calibri" w:hAnsi="Times New Roman"/>
          <w:color w:val="000000"/>
          <w:szCs w:val="22"/>
          <w:lang w:eastAsia="en-US"/>
        </w:rPr>
        <w:t xml:space="preserve">, 5 de 3x60 </w:t>
      </w:r>
      <w:proofErr w:type="spellStart"/>
      <w:r w:rsidRPr="00A27653">
        <w:rPr>
          <w:rFonts w:ascii="Times New Roman" w:eastAsia="Calibri" w:hAnsi="Times New Roman"/>
          <w:color w:val="000000"/>
          <w:szCs w:val="22"/>
          <w:lang w:eastAsia="en-US"/>
        </w:rPr>
        <w:t>Amp</w:t>
      </w:r>
      <w:proofErr w:type="spellEnd"/>
      <w:r w:rsidRPr="00A27653">
        <w:rPr>
          <w:rFonts w:ascii="Times New Roman" w:eastAsia="Calibri" w:hAnsi="Times New Roman"/>
          <w:color w:val="000000"/>
          <w:szCs w:val="22"/>
          <w:lang w:eastAsia="en-US"/>
        </w:rPr>
        <w:t xml:space="preserve">, 2 de 3x200 </w:t>
      </w:r>
      <w:proofErr w:type="spellStart"/>
      <w:r w:rsidRPr="00A27653">
        <w:rPr>
          <w:rFonts w:ascii="Times New Roman" w:eastAsia="Calibri" w:hAnsi="Times New Roman"/>
          <w:color w:val="000000"/>
          <w:szCs w:val="22"/>
          <w:lang w:eastAsia="en-US"/>
        </w:rPr>
        <w:t>Amp</w:t>
      </w:r>
      <w:proofErr w:type="spellEnd"/>
      <w:r w:rsidRPr="00A27653">
        <w:rPr>
          <w:rFonts w:ascii="Times New Roman" w:eastAsia="Calibri" w:hAnsi="Times New Roman"/>
          <w:color w:val="000000"/>
          <w:szCs w:val="22"/>
          <w:lang w:eastAsia="en-US"/>
        </w:rPr>
        <w:t xml:space="preserve">, 1 de 3x250 </w:t>
      </w:r>
      <w:proofErr w:type="spellStart"/>
      <w:r w:rsidRPr="00A27653">
        <w:rPr>
          <w:rFonts w:ascii="Times New Roman" w:eastAsia="Calibri" w:hAnsi="Times New Roman"/>
          <w:color w:val="000000"/>
          <w:szCs w:val="22"/>
          <w:lang w:eastAsia="en-US"/>
        </w:rPr>
        <w:t>Amp</w:t>
      </w:r>
      <w:proofErr w:type="spellEnd"/>
      <w:r w:rsidRPr="00A27653">
        <w:rPr>
          <w:rFonts w:ascii="Times New Roman" w:eastAsia="Calibri" w:hAnsi="Times New Roman"/>
          <w:color w:val="000000"/>
          <w:szCs w:val="22"/>
          <w:lang w:eastAsia="en-US"/>
        </w:rPr>
        <w:t>,</w:t>
      </w:r>
    </w:p>
    <w:p w14:paraId="1F32C85E"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7A3D6E40"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T-ADMON 1 (TABLERO DE DISTRIBUCIÓN)</w:t>
      </w:r>
    </w:p>
    <w:p w14:paraId="21BB7E9E"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Barras 125A</w:t>
      </w:r>
    </w:p>
    <w:p w14:paraId="30F5467F"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Ramal Principal 2x80A</w:t>
      </w:r>
    </w:p>
    <w:p w14:paraId="4C9E3A79"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24 Polos 1Ø</w:t>
      </w:r>
    </w:p>
    <w:p w14:paraId="6D36009B"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4BC2338B"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T-ADMON 2 (TABLERO DE DISTRIBUCIÓN)</w:t>
      </w:r>
    </w:p>
    <w:p w14:paraId="74403170"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Barras 125A</w:t>
      </w:r>
    </w:p>
    <w:p w14:paraId="5DB57CA3"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Ramal Principal 2x80A</w:t>
      </w:r>
    </w:p>
    <w:p w14:paraId="167B693C"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24 Polos 1Ø</w:t>
      </w:r>
    </w:p>
    <w:p w14:paraId="1780EB7B"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47D68881"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T-ADMON 3 (TABLERO DE DISTRIBUCIÓN)</w:t>
      </w:r>
    </w:p>
    <w:p w14:paraId="0C3F86E5"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Barras 125A</w:t>
      </w:r>
    </w:p>
    <w:p w14:paraId="7C26C459"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Ramal Principal 2x100A</w:t>
      </w:r>
    </w:p>
    <w:p w14:paraId="76477D45"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24 Polos 1Ø</w:t>
      </w:r>
    </w:p>
    <w:p w14:paraId="2F9DB27C"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4FD5009C"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T-SALUD (TABLERO DE DISTRIBUCIÓN)</w:t>
      </w:r>
    </w:p>
    <w:p w14:paraId="3985380A"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Barras 125A</w:t>
      </w:r>
    </w:p>
    <w:p w14:paraId="46C3A988"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lastRenderedPageBreak/>
        <w:t>-</w:t>
      </w:r>
      <w:r w:rsidRPr="00A27653">
        <w:rPr>
          <w:rFonts w:ascii="Times New Roman" w:eastAsia="Calibri" w:hAnsi="Times New Roman"/>
          <w:color w:val="000000"/>
          <w:szCs w:val="22"/>
          <w:lang w:eastAsia="en-US"/>
        </w:rPr>
        <w:tab/>
        <w:t>Ramal Principal 2x100A</w:t>
      </w:r>
    </w:p>
    <w:p w14:paraId="5B4B8E56"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24 Polos 1Ø</w:t>
      </w:r>
    </w:p>
    <w:p w14:paraId="7CA06177"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2FC80579"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T-REGULADO (TABLERO DE DISTRIBUCIÓN)</w:t>
      </w:r>
    </w:p>
    <w:p w14:paraId="2786B485"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Barras 125A</w:t>
      </w:r>
    </w:p>
    <w:p w14:paraId="75C829AE"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Ramal Principal 2x70A</w:t>
      </w:r>
    </w:p>
    <w:p w14:paraId="1AF3F079"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24 Polos 1Ø</w:t>
      </w:r>
    </w:p>
    <w:p w14:paraId="1B5D19F7" w14:textId="77777777" w:rsidR="00A27653" w:rsidRPr="00A27653" w:rsidRDefault="00A27653" w:rsidP="00A27653">
      <w:pPr>
        <w:autoSpaceDE w:val="0"/>
        <w:autoSpaceDN w:val="0"/>
        <w:adjustRightInd w:val="0"/>
        <w:jc w:val="both"/>
        <w:rPr>
          <w:rFonts w:ascii="Times New Roman" w:eastAsia="Calibri" w:hAnsi="Times New Roman"/>
          <w:color w:val="000000"/>
          <w:szCs w:val="22"/>
          <w:lang w:val="en-US" w:eastAsia="en-US"/>
        </w:rPr>
      </w:pPr>
      <w:r w:rsidRPr="00A27653">
        <w:rPr>
          <w:rFonts w:ascii="Times New Roman" w:eastAsia="Calibri" w:hAnsi="Times New Roman"/>
          <w:color w:val="000000"/>
          <w:szCs w:val="22"/>
          <w:lang w:val="en-US" w:eastAsia="en-US"/>
        </w:rPr>
        <w:t>-</w:t>
      </w:r>
      <w:r w:rsidRPr="00A27653">
        <w:rPr>
          <w:rFonts w:ascii="Times New Roman" w:eastAsia="Calibri" w:hAnsi="Times New Roman"/>
          <w:color w:val="000000"/>
          <w:szCs w:val="22"/>
          <w:lang w:val="en-US" w:eastAsia="en-US"/>
        </w:rPr>
        <w:tab/>
        <w:t>UPS 15KVA</w:t>
      </w:r>
    </w:p>
    <w:p w14:paraId="5DB9E18F" w14:textId="77777777" w:rsidR="00A27653" w:rsidRPr="00A27653" w:rsidRDefault="00A27653" w:rsidP="00A27653">
      <w:pPr>
        <w:autoSpaceDE w:val="0"/>
        <w:autoSpaceDN w:val="0"/>
        <w:adjustRightInd w:val="0"/>
        <w:jc w:val="both"/>
        <w:rPr>
          <w:rFonts w:ascii="Times New Roman" w:eastAsia="Calibri" w:hAnsi="Times New Roman"/>
          <w:color w:val="000000"/>
          <w:szCs w:val="22"/>
          <w:lang w:val="en-US" w:eastAsia="en-US"/>
        </w:rPr>
      </w:pPr>
      <w:r w:rsidRPr="00A27653">
        <w:rPr>
          <w:rFonts w:ascii="Times New Roman" w:eastAsia="Calibri" w:hAnsi="Times New Roman"/>
          <w:color w:val="000000"/>
          <w:szCs w:val="22"/>
          <w:lang w:val="en-US" w:eastAsia="en-US"/>
        </w:rPr>
        <w:t>-</w:t>
      </w:r>
      <w:r w:rsidRPr="00A27653">
        <w:rPr>
          <w:rFonts w:ascii="Times New Roman" w:eastAsia="Calibri" w:hAnsi="Times New Roman"/>
          <w:color w:val="000000"/>
          <w:szCs w:val="22"/>
          <w:lang w:val="en-US" w:eastAsia="en-US"/>
        </w:rPr>
        <w:tab/>
        <w:t>BY PASS 208Y/120V 2X70A</w:t>
      </w:r>
    </w:p>
    <w:p w14:paraId="3F0F1A11" w14:textId="77777777" w:rsidR="00A27653" w:rsidRPr="00A27653" w:rsidRDefault="00A27653" w:rsidP="00A27653">
      <w:pPr>
        <w:autoSpaceDE w:val="0"/>
        <w:autoSpaceDN w:val="0"/>
        <w:adjustRightInd w:val="0"/>
        <w:jc w:val="both"/>
        <w:rPr>
          <w:rFonts w:ascii="Times New Roman" w:eastAsia="Calibri" w:hAnsi="Times New Roman"/>
          <w:color w:val="000000"/>
          <w:szCs w:val="22"/>
          <w:lang w:val="en-US" w:eastAsia="en-US"/>
        </w:rPr>
      </w:pPr>
    </w:p>
    <w:p w14:paraId="4167E654"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T-EQUIPOS 1 (TABLERO DE DISTRIBUCIÓN)</w:t>
      </w:r>
    </w:p>
    <w:p w14:paraId="49FBEA6C"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Barras 250A</w:t>
      </w:r>
    </w:p>
    <w:p w14:paraId="605D1D21"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Ramal Principal 3x250A</w:t>
      </w:r>
    </w:p>
    <w:p w14:paraId="6F336A67"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42 Polos 3Ø</w:t>
      </w:r>
    </w:p>
    <w:p w14:paraId="2285F572"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0825CBFE"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T-EQUIPOS 2 (TABLERO DE DISTRIBUCIÓN)</w:t>
      </w:r>
    </w:p>
    <w:p w14:paraId="2D0F7DE1"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Barras 200A</w:t>
      </w:r>
    </w:p>
    <w:p w14:paraId="465CF9D4"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Ramal Principal 3x200A</w:t>
      </w:r>
    </w:p>
    <w:p w14:paraId="77E912BA"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30 Polos 3Ø</w:t>
      </w:r>
    </w:p>
    <w:p w14:paraId="43806C2C"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30C29E8A"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T-CISTERNA (TABLERO DE DISTRIBUCIÓN)</w:t>
      </w:r>
    </w:p>
    <w:p w14:paraId="3548E3B5"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Barras 125A</w:t>
      </w:r>
    </w:p>
    <w:p w14:paraId="48546CD9"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Ramal Principal 3x60A</w:t>
      </w:r>
    </w:p>
    <w:p w14:paraId="69E08F5B"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 xml:space="preserve"> </w:t>
      </w:r>
    </w:p>
    <w:p w14:paraId="66E87DAF"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002A846F"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24 Polos 3Ø</w:t>
      </w:r>
    </w:p>
    <w:p w14:paraId="7A275257"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518EC067"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T-POZO (TABLERO DE DISTRIBUCIÓN)</w:t>
      </w:r>
    </w:p>
    <w:p w14:paraId="6C780DC0"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Barras 125A</w:t>
      </w:r>
    </w:p>
    <w:p w14:paraId="54B472E3"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Ramal Principal 3x60A</w:t>
      </w:r>
    </w:p>
    <w:p w14:paraId="29A85D49"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24 Polos 3Ø</w:t>
      </w:r>
    </w:p>
    <w:p w14:paraId="3B0F85CC"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5D8CB980"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T-PTAR 1 (TABLERO DE DISTRIBUCIÓN)</w:t>
      </w:r>
    </w:p>
    <w:p w14:paraId="7AB54DE5"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Barras 125A</w:t>
      </w:r>
    </w:p>
    <w:p w14:paraId="187A47B3"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Ramal Principal 60A</w:t>
      </w:r>
    </w:p>
    <w:p w14:paraId="261D5B19"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24 Polos 3Ø</w:t>
      </w:r>
    </w:p>
    <w:p w14:paraId="4F3C82FB"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5F79BA2A"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T-PTAR 2 (TABLERO DE DISTRIBUCIÓN)</w:t>
      </w:r>
    </w:p>
    <w:p w14:paraId="5BE7B513"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Barras 125A</w:t>
      </w:r>
    </w:p>
    <w:p w14:paraId="631A6F3E"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Ramal Principal 60A</w:t>
      </w:r>
    </w:p>
    <w:p w14:paraId="082A9975"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24 Polos 3Ø</w:t>
      </w:r>
    </w:p>
    <w:p w14:paraId="654DE19D"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T-ELEVADOR</w:t>
      </w:r>
    </w:p>
    <w:p w14:paraId="77D52224"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Barras 125A</w:t>
      </w:r>
    </w:p>
    <w:p w14:paraId="468BC4AD"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Ramal Principal 3x60A</w:t>
      </w:r>
    </w:p>
    <w:p w14:paraId="7B04F597"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12 Polos 3Ø</w:t>
      </w:r>
    </w:p>
    <w:p w14:paraId="084E8C68"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486D30A5"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T-INCENDIOS</w:t>
      </w:r>
    </w:p>
    <w:p w14:paraId="1FF012FE"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Barras 200A</w:t>
      </w:r>
    </w:p>
    <w:p w14:paraId="58156713"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Ramal Principal 3x200A</w:t>
      </w:r>
    </w:p>
    <w:p w14:paraId="482024B6"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18 Polos 3Ø</w:t>
      </w:r>
    </w:p>
    <w:p w14:paraId="142D27AC"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2357A4E3"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CABLEADOS DE ACOMETIDAS A TABLEROS</w:t>
      </w:r>
    </w:p>
    <w:p w14:paraId="745D632A"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lastRenderedPageBreak/>
        <w:t>•</w:t>
      </w:r>
      <w:r w:rsidRPr="00A27653">
        <w:rPr>
          <w:rFonts w:ascii="Times New Roman" w:eastAsia="Calibri" w:hAnsi="Times New Roman"/>
          <w:color w:val="000000"/>
          <w:szCs w:val="22"/>
          <w:lang w:eastAsia="en-US"/>
        </w:rPr>
        <w:tab/>
        <w:t># 6 THHN O Indicado.</w:t>
      </w:r>
    </w:p>
    <w:p w14:paraId="3DB24622"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Caja Tipo H</w:t>
      </w:r>
    </w:p>
    <w:p w14:paraId="7B395433"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Caja 0.60m x 0.60m o indicado.</w:t>
      </w:r>
    </w:p>
    <w:p w14:paraId="61601E2A" w14:textId="28DC06FD"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r>
      <w:r w:rsidR="00BC4667" w:rsidRPr="00A27653">
        <w:rPr>
          <w:rFonts w:ascii="Times New Roman" w:eastAsia="Calibri" w:hAnsi="Times New Roman"/>
          <w:color w:val="000000"/>
          <w:szCs w:val="22"/>
          <w:lang w:eastAsia="en-US"/>
        </w:rPr>
        <w:t>Tubería</w:t>
      </w:r>
      <w:r w:rsidRPr="00A27653">
        <w:rPr>
          <w:rFonts w:ascii="Times New Roman" w:eastAsia="Calibri" w:hAnsi="Times New Roman"/>
          <w:color w:val="000000"/>
          <w:szCs w:val="22"/>
          <w:lang w:eastAsia="en-US"/>
        </w:rPr>
        <w:t xml:space="preserve"> PVC</w:t>
      </w:r>
    </w:p>
    <w:p w14:paraId="3F7211FE"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162903DC"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 xml:space="preserve">El cálculo del alimentador principal estará dado por el desarrollador y el requerimiento por parte de </w:t>
      </w:r>
      <w:proofErr w:type="spellStart"/>
      <w:r w:rsidRPr="00A27653">
        <w:rPr>
          <w:rFonts w:ascii="Times New Roman" w:eastAsia="Calibri" w:hAnsi="Times New Roman"/>
          <w:color w:val="000000"/>
          <w:szCs w:val="22"/>
          <w:lang w:eastAsia="en-US"/>
        </w:rPr>
        <w:t>Denerpro</w:t>
      </w:r>
      <w:proofErr w:type="spellEnd"/>
      <w:r w:rsidRPr="00A27653">
        <w:rPr>
          <w:rFonts w:ascii="Times New Roman" w:eastAsia="Calibri" w:hAnsi="Times New Roman"/>
          <w:color w:val="000000"/>
          <w:szCs w:val="22"/>
          <w:lang w:eastAsia="en-US"/>
        </w:rPr>
        <w:t xml:space="preserve"> es, que la caída de voltaje hasta el punto de entrega de la agencia sea de 1.5%, para garantizar una caída de voltaje máximo de 3% hasta el último tablero de la agencia.</w:t>
      </w:r>
    </w:p>
    <w:p w14:paraId="3E85C672"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2D1ACDBF"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12.2.</w:t>
      </w:r>
      <w:r w:rsidRPr="00A27653">
        <w:rPr>
          <w:rFonts w:ascii="Times New Roman" w:eastAsia="Calibri" w:hAnsi="Times New Roman"/>
          <w:color w:val="000000"/>
          <w:szCs w:val="22"/>
          <w:lang w:eastAsia="en-US"/>
        </w:rPr>
        <w:tab/>
        <w:t>SISTEMA DE ILUMINACIÓN:</w:t>
      </w:r>
    </w:p>
    <w:p w14:paraId="7853D30D"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En todas las áreas la iluminación tendrá sus interruptores en forma local. Las gradas serán controladas con sensores de movimiento.</w:t>
      </w:r>
    </w:p>
    <w:p w14:paraId="42D4A28B"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12.2.1.</w:t>
      </w:r>
      <w:r w:rsidRPr="00A27653">
        <w:rPr>
          <w:rFonts w:ascii="Times New Roman" w:eastAsia="Calibri" w:hAnsi="Times New Roman"/>
          <w:color w:val="000000"/>
          <w:szCs w:val="22"/>
          <w:lang w:eastAsia="en-US"/>
        </w:rPr>
        <w:tab/>
        <w:t>ILUMINACIÓN:</w:t>
      </w:r>
    </w:p>
    <w:p w14:paraId="726C7C0B"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r>
      <w:proofErr w:type="spellStart"/>
      <w:r w:rsidRPr="00A27653">
        <w:rPr>
          <w:rFonts w:ascii="Times New Roman" w:eastAsia="Calibri" w:hAnsi="Times New Roman"/>
          <w:color w:val="000000"/>
          <w:szCs w:val="22"/>
          <w:lang w:eastAsia="en-US"/>
        </w:rPr>
        <w:t>Power</w:t>
      </w:r>
      <w:proofErr w:type="spellEnd"/>
      <w:r w:rsidRPr="00A27653">
        <w:rPr>
          <w:rFonts w:ascii="Times New Roman" w:eastAsia="Calibri" w:hAnsi="Times New Roman"/>
          <w:color w:val="000000"/>
          <w:szCs w:val="22"/>
          <w:lang w:eastAsia="en-US"/>
        </w:rPr>
        <w:t xml:space="preserve"> Pack Serie Bz-150- </w:t>
      </w:r>
      <w:proofErr w:type="spellStart"/>
      <w:r w:rsidRPr="00A27653">
        <w:rPr>
          <w:rFonts w:ascii="Times New Roman" w:eastAsia="Calibri" w:hAnsi="Times New Roman"/>
          <w:color w:val="000000"/>
          <w:szCs w:val="22"/>
          <w:lang w:eastAsia="en-US"/>
        </w:rPr>
        <w:t>Wattstopper</w:t>
      </w:r>
      <w:proofErr w:type="spellEnd"/>
      <w:r w:rsidRPr="00A27653">
        <w:rPr>
          <w:rFonts w:ascii="Times New Roman" w:eastAsia="Calibri" w:hAnsi="Times New Roman"/>
          <w:color w:val="000000"/>
          <w:szCs w:val="22"/>
          <w:lang w:eastAsia="en-US"/>
        </w:rPr>
        <w:t>. (Transformador 24v) o similar.</w:t>
      </w:r>
    </w:p>
    <w:p w14:paraId="46DFB220"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 xml:space="preserve">Sensor De Movimiento CI-355 120v </w:t>
      </w:r>
      <w:proofErr w:type="spellStart"/>
      <w:r w:rsidRPr="00A27653">
        <w:rPr>
          <w:rFonts w:ascii="Times New Roman" w:eastAsia="Calibri" w:hAnsi="Times New Roman"/>
          <w:color w:val="000000"/>
          <w:szCs w:val="22"/>
          <w:lang w:eastAsia="en-US"/>
        </w:rPr>
        <w:t>Wattstopper</w:t>
      </w:r>
      <w:proofErr w:type="spellEnd"/>
      <w:r w:rsidRPr="00A27653">
        <w:rPr>
          <w:rFonts w:ascii="Times New Roman" w:eastAsia="Calibri" w:hAnsi="Times New Roman"/>
          <w:color w:val="000000"/>
          <w:szCs w:val="22"/>
          <w:lang w:eastAsia="en-US"/>
        </w:rPr>
        <w:t xml:space="preserve"> o similar.</w:t>
      </w:r>
    </w:p>
    <w:p w14:paraId="0EC1407B"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Sensor de Movimiento UT-300/305-1 Modo normal o similar.</w:t>
      </w:r>
    </w:p>
    <w:p w14:paraId="26D373C5"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 xml:space="preserve">Luminaria Led Panel ED 24W DL MV 120V de sobrepuesto </w:t>
      </w:r>
      <w:proofErr w:type="spellStart"/>
      <w:r w:rsidRPr="00A27653">
        <w:rPr>
          <w:rFonts w:ascii="Times New Roman" w:eastAsia="Calibri" w:hAnsi="Times New Roman"/>
          <w:color w:val="000000"/>
          <w:szCs w:val="22"/>
          <w:lang w:eastAsia="en-US"/>
        </w:rPr>
        <w:t>Sylvania</w:t>
      </w:r>
      <w:proofErr w:type="spellEnd"/>
      <w:r w:rsidRPr="00A27653">
        <w:rPr>
          <w:rFonts w:ascii="Times New Roman" w:eastAsia="Calibri" w:hAnsi="Times New Roman"/>
          <w:color w:val="000000"/>
          <w:szCs w:val="22"/>
          <w:lang w:eastAsia="en-US"/>
        </w:rPr>
        <w:t>. o similar</w:t>
      </w:r>
    </w:p>
    <w:p w14:paraId="17D6CE0E" w14:textId="77777777" w:rsidR="00A27653" w:rsidRPr="00A27653" w:rsidRDefault="00A27653" w:rsidP="00A27653">
      <w:pPr>
        <w:autoSpaceDE w:val="0"/>
        <w:autoSpaceDN w:val="0"/>
        <w:adjustRightInd w:val="0"/>
        <w:jc w:val="both"/>
        <w:rPr>
          <w:rFonts w:ascii="Times New Roman" w:eastAsia="Calibri" w:hAnsi="Times New Roman"/>
          <w:color w:val="000000"/>
          <w:szCs w:val="22"/>
          <w:lang w:val="en-US"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val="en-US" w:eastAsia="en-US"/>
        </w:rPr>
        <w:tab/>
        <w:t>Luminaria Led Panel RC 40W DL 120V Sylvania. o similar</w:t>
      </w:r>
    </w:p>
    <w:p w14:paraId="26ABA4E3" w14:textId="77777777" w:rsidR="00A27653" w:rsidRPr="00A27653" w:rsidRDefault="00A27653" w:rsidP="00A27653">
      <w:pPr>
        <w:autoSpaceDE w:val="0"/>
        <w:autoSpaceDN w:val="0"/>
        <w:adjustRightInd w:val="0"/>
        <w:jc w:val="both"/>
        <w:rPr>
          <w:rFonts w:ascii="Times New Roman" w:eastAsia="Calibri" w:hAnsi="Times New Roman"/>
          <w:color w:val="000000"/>
          <w:szCs w:val="22"/>
          <w:lang w:val="en-US"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val="en-US" w:eastAsia="en-US"/>
        </w:rPr>
        <w:tab/>
        <w:t>Luminaria Kit solar Street Urban 90W IP66 136LM Sylvania. o similar</w:t>
      </w:r>
    </w:p>
    <w:p w14:paraId="21E15BFA"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 xml:space="preserve">Interruptor simple H=1.20 S.N.P.T. Marca Legrand </w:t>
      </w:r>
      <w:proofErr w:type="spellStart"/>
      <w:r w:rsidRPr="00A27653">
        <w:rPr>
          <w:rFonts w:ascii="Times New Roman" w:eastAsia="Calibri" w:hAnsi="Times New Roman"/>
          <w:color w:val="000000"/>
          <w:szCs w:val="22"/>
          <w:lang w:eastAsia="en-US"/>
        </w:rPr>
        <w:t>Linea</w:t>
      </w:r>
      <w:proofErr w:type="spellEnd"/>
      <w:r w:rsidRPr="00A27653">
        <w:rPr>
          <w:rFonts w:ascii="Times New Roman" w:eastAsia="Calibri" w:hAnsi="Times New Roman"/>
          <w:color w:val="000000"/>
          <w:szCs w:val="22"/>
          <w:lang w:eastAsia="en-US"/>
        </w:rPr>
        <w:t xml:space="preserve"> </w:t>
      </w:r>
      <w:proofErr w:type="spellStart"/>
      <w:r w:rsidRPr="00A27653">
        <w:rPr>
          <w:rFonts w:ascii="Times New Roman" w:eastAsia="Calibri" w:hAnsi="Times New Roman"/>
          <w:color w:val="000000"/>
          <w:szCs w:val="22"/>
          <w:lang w:eastAsia="en-US"/>
        </w:rPr>
        <w:t>Radiant</w:t>
      </w:r>
      <w:proofErr w:type="spellEnd"/>
      <w:r w:rsidRPr="00A27653">
        <w:rPr>
          <w:rFonts w:ascii="Times New Roman" w:eastAsia="Calibri" w:hAnsi="Times New Roman"/>
          <w:color w:val="000000"/>
          <w:szCs w:val="22"/>
          <w:lang w:eastAsia="en-US"/>
        </w:rPr>
        <w:t xml:space="preserve"> o similar</w:t>
      </w:r>
    </w:p>
    <w:p w14:paraId="5D92528C"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val="en-US" w:eastAsia="en-US"/>
        </w:rPr>
        <w:tab/>
        <w:t xml:space="preserve">TM870W </w:t>
      </w:r>
      <w:proofErr w:type="spellStart"/>
      <w:r w:rsidRPr="00A27653">
        <w:rPr>
          <w:rFonts w:ascii="Times New Roman" w:eastAsia="Calibri" w:hAnsi="Times New Roman"/>
          <w:color w:val="000000"/>
          <w:szCs w:val="22"/>
          <w:lang w:val="en-US" w:eastAsia="en-US"/>
        </w:rPr>
        <w:t>placa</w:t>
      </w:r>
      <w:proofErr w:type="spellEnd"/>
      <w:r w:rsidRPr="00A27653">
        <w:rPr>
          <w:rFonts w:ascii="Times New Roman" w:eastAsia="Calibri" w:hAnsi="Times New Roman"/>
          <w:color w:val="000000"/>
          <w:szCs w:val="22"/>
          <w:lang w:val="en-US" w:eastAsia="en-US"/>
        </w:rPr>
        <w:t xml:space="preserve"> RWP 26W 15A. </w:t>
      </w:r>
      <w:r w:rsidRPr="00A27653">
        <w:rPr>
          <w:rFonts w:ascii="Times New Roman" w:eastAsia="Calibri" w:hAnsi="Times New Roman"/>
          <w:color w:val="000000"/>
          <w:szCs w:val="22"/>
          <w:lang w:eastAsia="en-US"/>
        </w:rPr>
        <w:t>120V. En caja rectangular 2"X4". o similar</w:t>
      </w:r>
    </w:p>
    <w:p w14:paraId="51759EB3"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 xml:space="preserve">Interruptor simple H=1.20 S.N.P.T. Marca Legrand </w:t>
      </w:r>
      <w:proofErr w:type="spellStart"/>
      <w:r w:rsidRPr="00A27653">
        <w:rPr>
          <w:rFonts w:ascii="Times New Roman" w:eastAsia="Calibri" w:hAnsi="Times New Roman"/>
          <w:color w:val="000000"/>
          <w:szCs w:val="22"/>
          <w:lang w:eastAsia="en-US"/>
        </w:rPr>
        <w:t>Linea</w:t>
      </w:r>
      <w:proofErr w:type="spellEnd"/>
      <w:r w:rsidRPr="00A27653">
        <w:rPr>
          <w:rFonts w:ascii="Times New Roman" w:eastAsia="Calibri" w:hAnsi="Times New Roman"/>
          <w:color w:val="000000"/>
          <w:szCs w:val="22"/>
          <w:lang w:eastAsia="en-US"/>
        </w:rPr>
        <w:t xml:space="preserve"> </w:t>
      </w:r>
      <w:proofErr w:type="spellStart"/>
      <w:r w:rsidRPr="00A27653">
        <w:rPr>
          <w:rFonts w:ascii="Times New Roman" w:eastAsia="Calibri" w:hAnsi="Times New Roman"/>
          <w:color w:val="000000"/>
          <w:szCs w:val="22"/>
          <w:lang w:eastAsia="en-US"/>
        </w:rPr>
        <w:t>Radiant</w:t>
      </w:r>
      <w:proofErr w:type="spellEnd"/>
      <w:r w:rsidRPr="00A27653">
        <w:rPr>
          <w:rFonts w:ascii="Times New Roman" w:eastAsia="Calibri" w:hAnsi="Times New Roman"/>
          <w:color w:val="000000"/>
          <w:szCs w:val="22"/>
          <w:lang w:eastAsia="en-US"/>
        </w:rPr>
        <w:t xml:space="preserve"> RCD 11W o similar</w:t>
      </w:r>
    </w:p>
    <w:p w14:paraId="28560AB3"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(2 Unidades), Placa RWP 26W 15A. 120V. En caja rectangular 2"X4". o similar</w:t>
      </w:r>
    </w:p>
    <w:p w14:paraId="07E54E6C"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 xml:space="preserve">Interruptor simple H=1.20 S.N.P.T. Marca Legrand </w:t>
      </w:r>
      <w:proofErr w:type="spellStart"/>
      <w:r w:rsidRPr="00A27653">
        <w:rPr>
          <w:rFonts w:ascii="Times New Roman" w:eastAsia="Calibri" w:hAnsi="Times New Roman"/>
          <w:color w:val="000000"/>
          <w:szCs w:val="22"/>
          <w:lang w:eastAsia="en-US"/>
        </w:rPr>
        <w:t>Linea</w:t>
      </w:r>
      <w:proofErr w:type="spellEnd"/>
      <w:r w:rsidRPr="00A27653">
        <w:rPr>
          <w:rFonts w:ascii="Times New Roman" w:eastAsia="Calibri" w:hAnsi="Times New Roman"/>
          <w:color w:val="000000"/>
          <w:szCs w:val="22"/>
          <w:lang w:eastAsia="en-US"/>
        </w:rPr>
        <w:t xml:space="preserve"> </w:t>
      </w:r>
      <w:proofErr w:type="spellStart"/>
      <w:r w:rsidRPr="00A27653">
        <w:rPr>
          <w:rFonts w:ascii="Times New Roman" w:eastAsia="Calibri" w:hAnsi="Times New Roman"/>
          <w:color w:val="000000"/>
          <w:szCs w:val="22"/>
          <w:lang w:eastAsia="en-US"/>
        </w:rPr>
        <w:t>Radiant</w:t>
      </w:r>
      <w:proofErr w:type="spellEnd"/>
      <w:r w:rsidRPr="00A27653">
        <w:rPr>
          <w:rFonts w:ascii="Times New Roman" w:eastAsia="Calibri" w:hAnsi="Times New Roman"/>
          <w:color w:val="000000"/>
          <w:szCs w:val="22"/>
          <w:lang w:eastAsia="en-US"/>
        </w:rPr>
        <w:t xml:space="preserve"> RCD11W o similar</w:t>
      </w:r>
    </w:p>
    <w:p w14:paraId="02FE2D1A"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r>
      <w:r w:rsidRPr="00A27653">
        <w:rPr>
          <w:rFonts w:ascii="Times New Roman" w:eastAsia="Calibri" w:hAnsi="Times New Roman"/>
          <w:color w:val="000000"/>
          <w:szCs w:val="22"/>
          <w:lang w:eastAsia="en-US"/>
        </w:rPr>
        <w:tab/>
        <w:t>(3 Unidades), Placa RWP 26W 15A. 120V. En caja Rectangular 2"X4". o similar</w:t>
      </w:r>
    </w:p>
    <w:p w14:paraId="6C14E3D5"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val="en-US" w:eastAsia="en-US"/>
        </w:rPr>
        <w:tab/>
      </w:r>
      <w:proofErr w:type="spellStart"/>
      <w:r w:rsidRPr="00A27653">
        <w:rPr>
          <w:rFonts w:ascii="Times New Roman" w:eastAsia="Calibri" w:hAnsi="Times New Roman"/>
          <w:color w:val="000000"/>
          <w:szCs w:val="22"/>
          <w:lang w:val="en-US" w:eastAsia="en-US"/>
        </w:rPr>
        <w:t>Interruptor</w:t>
      </w:r>
      <w:proofErr w:type="spellEnd"/>
      <w:r w:rsidRPr="00A27653">
        <w:rPr>
          <w:rFonts w:ascii="Times New Roman" w:eastAsia="Calibri" w:hAnsi="Times New Roman"/>
          <w:color w:val="000000"/>
          <w:szCs w:val="22"/>
          <w:lang w:val="en-US" w:eastAsia="en-US"/>
        </w:rPr>
        <w:t xml:space="preserve"> Three Way Marca Legrand Linea Radiant TM873W Placa RWP26W 15A. </w:t>
      </w:r>
      <w:r w:rsidRPr="00A27653">
        <w:rPr>
          <w:rFonts w:ascii="Times New Roman" w:eastAsia="Calibri" w:hAnsi="Times New Roman"/>
          <w:color w:val="000000"/>
          <w:szCs w:val="22"/>
          <w:lang w:eastAsia="en-US"/>
        </w:rPr>
        <w:t>120V. En caja rectangular 2"X4". o similar</w:t>
      </w:r>
    </w:p>
    <w:p w14:paraId="787554B8"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Caja de concreto 0.30m X 0.30m X 0.50m.</w:t>
      </w:r>
    </w:p>
    <w:p w14:paraId="48400ECE"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 xml:space="preserve">Extractor en baño Delta </w:t>
      </w:r>
      <w:proofErr w:type="spellStart"/>
      <w:r w:rsidRPr="00A27653">
        <w:rPr>
          <w:rFonts w:ascii="Times New Roman" w:eastAsia="Calibri" w:hAnsi="Times New Roman"/>
          <w:color w:val="000000"/>
          <w:szCs w:val="22"/>
          <w:lang w:eastAsia="en-US"/>
        </w:rPr>
        <w:t>Electronics</w:t>
      </w:r>
      <w:proofErr w:type="spellEnd"/>
      <w:r w:rsidRPr="00A27653">
        <w:rPr>
          <w:rFonts w:ascii="Times New Roman" w:eastAsia="Calibri" w:hAnsi="Times New Roman"/>
          <w:color w:val="000000"/>
          <w:szCs w:val="22"/>
          <w:lang w:eastAsia="en-US"/>
        </w:rPr>
        <w:t xml:space="preserve"> (Américas), </w:t>
      </w:r>
      <w:proofErr w:type="spellStart"/>
      <w:r w:rsidRPr="00A27653">
        <w:rPr>
          <w:rFonts w:ascii="Times New Roman" w:eastAsia="Calibri" w:hAnsi="Times New Roman"/>
          <w:color w:val="000000"/>
          <w:szCs w:val="22"/>
          <w:lang w:eastAsia="en-US"/>
        </w:rPr>
        <w:t>BreezSlim</w:t>
      </w:r>
      <w:proofErr w:type="spellEnd"/>
      <w:r w:rsidRPr="00A27653">
        <w:rPr>
          <w:rFonts w:ascii="Times New Roman" w:eastAsia="Calibri" w:hAnsi="Times New Roman"/>
          <w:color w:val="000000"/>
          <w:szCs w:val="22"/>
          <w:lang w:eastAsia="en-US"/>
        </w:rPr>
        <w:t xml:space="preserve"> SLM50 o similar.</w:t>
      </w:r>
    </w:p>
    <w:p w14:paraId="5C84C755"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12.3.</w:t>
      </w:r>
      <w:r w:rsidRPr="00A27653">
        <w:rPr>
          <w:rFonts w:ascii="Times New Roman" w:eastAsia="Calibri" w:hAnsi="Times New Roman"/>
          <w:color w:val="000000"/>
          <w:szCs w:val="22"/>
          <w:lang w:eastAsia="en-US"/>
        </w:rPr>
        <w:tab/>
        <w:t>TOMACORRIENTES NORMALES</w:t>
      </w:r>
    </w:p>
    <w:p w14:paraId="6CDFE131"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En todos los ambientes, el tipo de tomacorrientes Normales 120 v. y 208 v. serán FUERZA:</w:t>
      </w:r>
    </w:p>
    <w:p w14:paraId="63CF026B"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 xml:space="preserve">Tomacorriente doble polarizado 120V. 20AMP., Marca Legrand Línea </w:t>
      </w:r>
      <w:proofErr w:type="spellStart"/>
      <w:r w:rsidRPr="00A27653">
        <w:rPr>
          <w:rFonts w:ascii="Times New Roman" w:eastAsia="Calibri" w:hAnsi="Times New Roman"/>
          <w:color w:val="000000"/>
          <w:szCs w:val="22"/>
          <w:lang w:eastAsia="en-US"/>
        </w:rPr>
        <w:t>Radiant</w:t>
      </w:r>
      <w:proofErr w:type="spellEnd"/>
      <w:r w:rsidRPr="00A27653">
        <w:rPr>
          <w:rFonts w:ascii="Times New Roman" w:eastAsia="Calibri" w:hAnsi="Times New Roman"/>
          <w:color w:val="000000"/>
          <w:szCs w:val="22"/>
          <w:lang w:eastAsia="en-US"/>
        </w:rPr>
        <w:t xml:space="preserve"> 885TWR placa RWP26W en Caja Rectangular 2”x4" o similar.</w:t>
      </w:r>
    </w:p>
    <w:p w14:paraId="179CB930"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 xml:space="preserve">Tomacorriente 120V. 20AMP. En Piso, Marca Legrand Línea </w:t>
      </w:r>
      <w:proofErr w:type="spellStart"/>
      <w:r w:rsidRPr="00A27653">
        <w:rPr>
          <w:rFonts w:ascii="Times New Roman" w:eastAsia="Calibri" w:hAnsi="Times New Roman"/>
          <w:color w:val="000000"/>
          <w:szCs w:val="22"/>
          <w:lang w:eastAsia="en-US"/>
        </w:rPr>
        <w:t>Radiant</w:t>
      </w:r>
      <w:proofErr w:type="spellEnd"/>
      <w:r w:rsidRPr="00A27653">
        <w:rPr>
          <w:rFonts w:ascii="Times New Roman" w:eastAsia="Calibri" w:hAnsi="Times New Roman"/>
          <w:color w:val="000000"/>
          <w:szCs w:val="22"/>
          <w:lang w:eastAsia="en-US"/>
        </w:rPr>
        <w:t xml:space="preserve"> 885TRW Placa 880M1 + 817B + 828R. o similar.</w:t>
      </w:r>
    </w:p>
    <w:p w14:paraId="727912A4"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 xml:space="preserve">Tomacorriente doble polarizado GFCI 120V. 20AMP. Marca Legrand Línea </w:t>
      </w:r>
      <w:proofErr w:type="spellStart"/>
      <w:r w:rsidRPr="00A27653">
        <w:rPr>
          <w:rFonts w:ascii="Times New Roman" w:eastAsia="Calibri" w:hAnsi="Times New Roman"/>
          <w:color w:val="000000"/>
          <w:szCs w:val="22"/>
          <w:lang w:eastAsia="en-US"/>
        </w:rPr>
        <w:t>Radiant</w:t>
      </w:r>
      <w:proofErr w:type="spellEnd"/>
      <w:r w:rsidRPr="00A27653">
        <w:rPr>
          <w:rFonts w:ascii="Times New Roman" w:eastAsia="Calibri" w:hAnsi="Times New Roman"/>
          <w:color w:val="000000"/>
          <w:szCs w:val="22"/>
          <w:lang w:eastAsia="en-US"/>
        </w:rPr>
        <w:t xml:space="preserve"> 2097TRW Placa RWP26w en caja rectangular 2”X4”. o similar</w:t>
      </w:r>
    </w:p>
    <w:p w14:paraId="29CD243A"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 xml:space="preserve">Tomacorriente 208v. 50AMP., Marca Legrand Línea </w:t>
      </w:r>
      <w:proofErr w:type="spellStart"/>
      <w:r w:rsidRPr="00A27653">
        <w:rPr>
          <w:rFonts w:ascii="Times New Roman" w:eastAsia="Calibri" w:hAnsi="Times New Roman"/>
          <w:color w:val="000000"/>
          <w:szCs w:val="22"/>
          <w:lang w:eastAsia="en-US"/>
        </w:rPr>
        <w:t>Radiant</w:t>
      </w:r>
      <w:proofErr w:type="spellEnd"/>
      <w:r w:rsidRPr="00A27653">
        <w:rPr>
          <w:rFonts w:ascii="Times New Roman" w:eastAsia="Calibri" w:hAnsi="Times New Roman"/>
          <w:color w:val="000000"/>
          <w:szCs w:val="22"/>
          <w:lang w:eastAsia="en-US"/>
        </w:rPr>
        <w:t xml:space="preserve"> 3890 Placa SS702 en caja 4”x4”. o similar.</w:t>
      </w:r>
    </w:p>
    <w:p w14:paraId="3DF38848"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Tomacorriente doble polarizado con tierra Grado Hospitalario 120v. 20amp. Marca Legrand 8300w, placa TP8W en caja rectangular 2”x4". o similar.</w:t>
      </w:r>
    </w:p>
    <w:p w14:paraId="42C0095F"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5C346BD5"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FUERZA REGULADA:</w:t>
      </w:r>
    </w:p>
    <w:p w14:paraId="6219C0EA"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Tomacorriente doble regulado con tierra grado especificación 120v. 20amp. Marca Legrand 2635red Placa TP26 En caja rectangular 2”x4". o similar</w:t>
      </w:r>
    </w:p>
    <w:p w14:paraId="110AB87D"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635440F7"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SISTEMAS ESPECIALES: (Teléfonos, Cable/Tv, etc.)</w:t>
      </w:r>
    </w:p>
    <w:p w14:paraId="324D2E5B"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55F81EBE"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Gabinetes DCMAX DC45U8012_M50_SVF80DVR80 Legrand o similar.</w:t>
      </w:r>
    </w:p>
    <w:p w14:paraId="2AC03604"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2AE50CDF"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 xml:space="preserve">Gabinete de pared </w:t>
      </w:r>
      <w:proofErr w:type="spellStart"/>
      <w:r w:rsidRPr="00A27653">
        <w:rPr>
          <w:rFonts w:ascii="Times New Roman" w:eastAsia="Calibri" w:hAnsi="Times New Roman"/>
          <w:color w:val="000000"/>
          <w:szCs w:val="22"/>
          <w:lang w:eastAsia="en-US"/>
        </w:rPr>
        <w:t>Linkeo</w:t>
      </w:r>
      <w:proofErr w:type="spellEnd"/>
      <w:r w:rsidRPr="00A27653">
        <w:rPr>
          <w:rFonts w:ascii="Times New Roman" w:eastAsia="Calibri" w:hAnsi="Times New Roman"/>
          <w:color w:val="000000"/>
          <w:szCs w:val="22"/>
          <w:lang w:eastAsia="en-US"/>
        </w:rPr>
        <w:t xml:space="preserve"> 646222. Legrand o similar.</w:t>
      </w:r>
    </w:p>
    <w:p w14:paraId="302BA38D"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152E1837"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lastRenderedPageBreak/>
        <w:t>•</w:t>
      </w:r>
      <w:r w:rsidRPr="00A27653">
        <w:rPr>
          <w:rFonts w:ascii="Times New Roman" w:eastAsia="Calibri" w:hAnsi="Times New Roman"/>
          <w:color w:val="000000"/>
          <w:szCs w:val="22"/>
          <w:lang w:eastAsia="en-US"/>
        </w:rPr>
        <w:tab/>
        <w:t xml:space="preserve">Canaleta tipo malla de 8"x4" </w:t>
      </w:r>
      <w:proofErr w:type="spellStart"/>
      <w:r w:rsidRPr="00A27653">
        <w:rPr>
          <w:rFonts w:ascii="Times New Roman" w:eastAsia="Calibri" w:hAnsi="Times New Roman"/>
          <w:color w:val="000000"/>
          <w:szCs w:val="22"/>
          <w:lang w:eastAsia="en-US"/>
        </w:rPr>
        <w:t>ez</w:t>
      </w:r>
      <w:proofErr w:type="spellEnd"/>
      <w:r w:rsidRPr="00A27653">
        <w:rPr>
          <w:rFonts w:ascii="Times New Roman" w:eastAsia="Calibri" w:hAnsi="Times New Roman"/>
          <w:color w:val="000000"/>
          <w:szCs w:val="22"/>
          <w:lang w:eastAsia="en-US"/>
        </w:rPr>
        <w:t xml:space="preserve"> (bandeja y accesorios) electro-</w:t>
      </w:r>
      <w:proofErr w:type="spellStart"/>
      <w:r w:rsidRPr="00A27653">
        <w:rPr>
          <w:rFonts w:ascii="Times New Roman" w:eastAsia="Calibri" w:hAnsi="Times New Roman"/>
          <w:color w:val="000000"/>
          <w:szCs w:val="22"/>
          <w:lang w:eastAsia="en-US"/>
        </w:rPr>
        <w:t>zincado</w:t>
      </w:r>
      <w:proofErr w:type="spellEnd"/>
      <w:r w:rsidRPr="00A27653">
        <w:rPr>
          <w:rFonts w:ascii="Times New Roman" w:eastAsia="Calibri" w:hAnsi="Times New Roman"/>
          <w:color w:val="000000"/>
          <w:szCs w:val="22"/>
          <w:lang w:eastAsia="en-US"/>
        </w:rPr>
        <w:t xml:space="preserve"> </w:t>
      </w:r>
      <w:proofErr w:type="spellStart"/>
      <w:r w:rsidRPr="00A27653">
        <w:rPr>
          <w:rFonts w:ascii="Times New Roman" w:eastAsia="Calibri" w:hAnsi="Times New Roman"/>
          <w:color w:val="000000"/>
          <w:szCs w:val="22"/>
          <w:lang w:eastAsia="en-US"/>
        </w:rPr>
        <w:t>cablofil</w:t>
      </w:r>
      <w:proofErr w:type="spellEnd"/>
      <w:r w:rsidRPr="00A27653">
        <w:rPr>
          <w:rFonts w:ascii="Times New Roman" w:eastAsia="Calibri" w:hAnsi="Times New Roman"/>
          <w:color w:val="000000"/>
          <w:szCs w:val="22"/>
          <w:lang w:eastAsia="en-US"/>
        </w:rPr>
        <w:t xml:space="preserve"> o similar.</w:t>
      </w:r>
    </w:p>
    <w:p w14:paraId="2463AE1B"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1F1AF729"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 xml:space="preserve">Bandeja de fibra alta densidad </w:t>
      </w:r>
      <w:proofErr w:type="spellStart"/>
      <w:r w:rsidRPr="00A27653">
        <w:rPr>
          <w:rFonts w:ascii="Times New Roman" w:eastAsia="Calibri" w:hAnsi="Times New Roman"/>
          <w:color w:val="000000"/>
          <w:szCs w:val="22"/>
          <w:lang w:eastAsia="en-US"/>
        </w:rPr>
        <w:t>odf</w:t>
      </w:r>
      <w:proofErr w:type="spellEnd"/>
      <w:r w:rsidRPr="00A27653">
        <w:rPr>
          <w:rFonts w:ascii="Times New Roman" w:eastAsia="Calibri" w:hAnsi="Times New Roman"/>
          <w:color w:val="000000"/>
          <w:szCs w:val="22"/>
          <w:lang w:eastAsia="en-US"/>
        </w:rPr>
        <w:t xml:space="preserve"> similar a </w:t>
      </w:r>
      <w:proofErr w:type="spellStart"/>
      <w:r w:rsidRPr="00A27653">
        <w:rPr>
          <w:rFonts w:ascii="Times New Roman" w:eastAsia="Calibri" w:hAnsi="Times New Roman"/>
          <w:color w:val="000000"/>
          <w:szCs w:val="22"/>
          <w:lang w:eastAsia="en-US"/>
        </w:rPr>
        <w:t>ortronics</w:t>
      </w:r>
      <w:proofErr w:type="spellEnd"/>
      <w:r w:rsidRPr="00A27653">
        <w:rPr>
          <w:rFonts w:ascii="Times New Roman" w:eastAsia="Calibri" w:hAnsi="Times New Roman"/>
          <w:color w:val="000000"/>
          <w:szCs w:val="22"/>
          <w:lang w:eastAsia="en-US"/>
        </w:rPr>
        <w:t xml:space="preserve"> cat. infc01u-m4. o similar.</w:t>
      </w:r>
    </w:p>
    <w:p w14:paraId="5C6D5F75"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6AF3E318"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Cableado UTP CAT 6. o similar.</w:t>
      </w:r>
    </w:p>
    <w:p w14:paraId="295BF686"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480D2E3F"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Salida para datos. Marca Legrand Línea Adorne AC5ERJ45W1 Placa AC1PFW1</w:t>
      </w:r>
    </w:p>
    <w:p w14:paraId="3CB4103D"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 xml:space="preserve">+ AWP1G2WH6 en caja rectangular 2x4" o similar + cable de red </w:t>
      </w:r>
      <w:proofErr w:type="spellStart"/>
      <w:r w:rsidRPr="00A27653">
        <w:rPr>
          <w:rFonts w:ascii="Times New Roman" w:eastAsia="Calibri" w:hAnsi="Times New Roman"/>
          <w:color w:val="000000"/>
          <w:szCs w:val="22"/>
          <w:lang w:eastAsia="en-US"/>
        </w:rPr>
        <w:t>utp</w:t>
      </w:r>
      <w:proofErr w:type="spellEnd"/>
      <w:r w:rsidRPr="00A27653">
        <w:rPr>
          <w:rFonts w:ascii="Times New Roman" w:eastAsia="Calibri" w:hAnsi="Times New Roman"/>
          <w:color w:val="000000"/>
          <w:szCs w:val="22"/>
          <w:lang w:eastAsia="en-US"/>
        </w:rPr>
        <w:t xml:space="preserve"> cat6, </w:t>
      </w:r>
      <w:proofErr w:type="spellStart"/>
      <w:r w:rsidRPr="00A27653">
        <w:rPr>
          <w:rFonts w:ascii="Times New Roman" w:eastAsia="Calibri" w:hAnsi="Times New Roman"/>
          <w:color w:val="000000"/>
          <w:szCs w:val="22"/>
          <w:lang w:eastAsia="en-US"/>
        </w:rPr>
        <w:t>cmr</w:t>
      </w:r>
      <w:proofErr w:type="spellEnd"/>
      <w:r w:rsidRPr="00A27653">
        <w:rPr>
          <w:rFonts w:ascii="Times New Roman" w:eastAsia="Calibri" w:hAnsi="Times New Roman"/>
          <w:color w:val="000000"/>
          <w:szCs w:val="22"/>
          <w:lang w:eastAsia="en-US"/>
        </w:rPr>
        <w:t xml:space="preserve">, calibre 23awg, ul444 y ul1666, </w:t>
      </w:r>
      <w:proofErr w:type="spellStart"/>
      <w:r w:rsidRPr="00A27653">
        <w:rPr>
          <w:rFonts w:ascii="Times New Roman" w:eastAsia="Calibri" w:hAnsi="Times New Roman"/>
          <w:color w:val="000000"/>
          <w:szCs w:val="22"/>
          <w:lang w:eastAsia="en-US"/>
        </w:rPr>
        <w:t>rohs</w:t>
      </w:r>
      <w:proofErr w:type="spellEnd"/>
      <w:r w:rsidRPr="00A27653">
        <w:rPr>
          <w:rFonts w:ascii="Times New Roman" w:eastAsia="Calibri" w:hAnsi="Times New Roman"/>
          <w:color w:val="000000"/>
          <w:szCs w:val="22"/>
          <w:lang w:eastAsia="en-US"/>
        </w:rPr>
        <w:t xml:space="preserve"> </w:t>
      </w:r>
      <w:proofErr w:type="spellStart"/>
      <w:r w:rsidRPr="00A27653">
        <w:rPr>
          <w:rFonts w:ascii="Times New Roman" w:eastAsia="Calibri" w:hAnsi="Times New Roman"/>
          <w:color w:val="000000"/>
          <w:szCs w:val="22"/>
          <w:lang w:eastAsia="en-US"/>
        </w:rPr>
        <w:t>compliant</w:t>
      </w:r>
      <w:proofErr w:type="spellEnd"/>
      <w:r w:rsidRPr="00A27653">
        <w:rPr>
          <w:rFonts w:ascii="Times New Roman" w:eastAsia="Calibri" w:hAnsi="Times New Roman"/>
          <w:color w:val="000000"/>
          <w:szCs w:val="22"/>
          <w:lang w:eastAsia="en-US"/>
        </w:rPr>
        <w:t xml:space="preserve">, similar a </w:t>
      </w:r>
      <w:proofErr w:type="spellStart"/>
      <w:r w:rsidRPr="00A27653">
        <w:rPr>
          <w:rFonts w:ascii="Times New Roman" w:eastAsia="Calibri" w:hAnsi="Times New Roman"/>
          <w:color w:val="000000"/>
          <w:szCs w:val="22"/>
          <w:lang w:eastAsia="en-US"/>
        </w:rPr>
        <w:t>ortronics</w:t>
      </w:r>
      <w:proofErr w:type="spellEnd"/>
      <w:r w:rsidRPr="00A27653">
        <w:rPr>
          <w:rFonts w:ascii="Times New Roman" w:eastAsia="Calibri" w:hAnsi="Times New Roman"/>
          <w:color w:val="000000"/>
          <w:szCs w:val="22"/>
          <w:lang w:eastAsia="en-US"/>
        </w:rPr>
        <w:t xml:space="preserve"> cat. or-100uc6r- 08</w:t>
      </w:r>
    </w:p>
    <w:p w14:paraId="62DFB678"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3B681048"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Salida para televisión. Marca Legrand Línea Adorne ACNRFCW1 Placa AC1PFW1 + AWP1G2WH6 en caja 4x4" o similar + cable coaxial.</w:t>
      </w:r>
    </w:p>
    <w:p w14:paraId="22456935"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Salida para teléfono. Marca Legrand Línea Adorne AC5ERJ45W1 Placa AC1PFW1 + AWP1G2WH6 en caja rectangular 2x4" o similar.</w:t>
      </w:r>
    </w:p>
    <w:p w14:paraId="5BE1E1EE"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03A552D6"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 xml:space="preserve">La distribución de tuberías en cada área de cada nivel, para los distintos sistemas especiales, está indicada en los respectivos planos. Y se dejaran </w:t>
      </w:r>
      <w:proofErr w:type="spellStart"/>
      <w:r w:rsidRPr="00A27653">
        <w:rPr>
          <w:rFonts w:ascii="Times New Roman" w:eastAsia="Calibri" w:hAnsi="Times New Roman"/>
          <w:color w:val="000000"/>
          <w:szCs w:val="22"/>
          <w:lang w:eastAsia="en-US"/>
        </w:rPr>
        <w:t>enguiadas</w:t>
      </w:r>
      <w:proofErr w:type="spellEnd"/>
      <w:r w:rsidRPr="00A27653">
        <w:rPr>
          <w:rFonts w:ascii="Times New Roman" w:eastAsia="Calibri" w:hAnsi="Times New Roman"/>
          <w:color w:val="000000"/>
          <w:szCs w:val="22"/>
          <w:lang w:eastAsia="en-US"/>
        </w:rPr>
        <w:t xml:space="preserve"> y con placa ciega Línea Legrand Color Blanco, encargándose la compañía que prestara el servicio, del cableado e instalación del dado correspondiente en la Línea Legrand Color Blanco según sus propias especificaciones.</w:t>
      </w:r>
    </w:p>
    <w:p w14:paraId="78679A61"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399A75BF"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13.</w:t>
      </w:r>
      <w:r w:rsidRPr="00A27653">
        <w:rPr>
          <w:rFonts w:ascii="Times New Roman" w:eastAsia="Calibri" w:hAnsi="Times New Roman"/>
          <w:color w:val="000000"/>
          <w:szCs w:val="22"/>
          <w:lang w:eastAsia="en-US"/>
        </w:rPr>
        <w:tab/>
        <w:t>INSTALACIONES ESPECIALES</w:t>
      </w:r>
    </w:p>
    <w:p w14:paraId="75A3F9A0"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13.1.</w:t>
      </w:r>
      <w:r w:rsidRPr="00A27653">
        <w:rPr>
          <w:rFonts w:ascii="Times New Roman" w:eastAsia="Calibri" w:hAnsi="Times New Roman"/>
          <w:color w:val="000000"/>
          <w:szCs w:val="22"/>
          <w:lang w:eastAsia="en-US"/>
        </w:rPr>
        <w:tab/>
        <w:t>SISTEMA CCTV.</w:t>
      </w:r>
    </w:p>
    <w:p w14:paraId="2EAC55C7"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24638770"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 xml:space="preserve">Cámara de seguridad tipo domo + salida de cable para conexión de cámara tipo cepillo, similar a </w:t>
      </w:r>
      <w:proofErr w:type="spellStart"/>
      <w:r w:rsidRPr="00A27653">
        <w:rPr>
          <w:rFonts w:ascii="Times New Roman" w:eastAsia="Calibri" w:hAnsi="Times New Roman"/>
          <w:color w:val="000000"/>
          <w:szCs w:val="22"/>
          <w:lang w:eastAsia="en-US"/>
        </w:rPr>
        <w:t>ortronics</w:t>
      </w:r>
      <w:proofErr w:type="spellEnd"/>
      <w:r w:rsidRPr="00A27653">
        <w:rPr>
          <w:rFonts w:ascii="Times New Roman" w:eastAsia="Calibri" w:hAnsi="Times New Roman"/>
          <w:color w:val="000000"/>
          <w:szCs w:val="22"/>
          <w:lang w:eastAsia="en-US"/>
        </w:rPr>
        <w:t xml:space="preserve"> código wp1014-wh o similar</w:t>
      </w:r>
    </w:p>
    <w:p w14:paraId="194FACDB"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20A706E2"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 xml:space="preserve">Cámara de seguridad tipo </w:t>
      </w:r>
      <w:proofErr w:type="spellStart"/>
      <w:r w:rsidRPr="00A27653">
        <w:rPr>
          <w:rFonts w:ascii="Times New Roman" w:eastAsia="Calibri" w:hAnsi="Times New Roman"/>
          <w:color w:val="000000"/>
          <w:szCs w:val="22"/>
          <w:lang w:eastAsia="en-US"/>
        </w:rPr>
        <w:t>bullet</w:t>
      </w:r>
      <w:proofErr w:type="spellEnd"/>
      <w:r w:rsidRPr="00A27653">
        <w:rPr>
          <w:rFonts w:ascii="Times New Roman" w:eastAsia="Calibri" w:hAnsi="Times New Roman"/>
          <w:color w:val="000000"/>
          <w:szCs w:val="22"/>
          <w:lang w:eastAsia="en-US"/>
        </w:rPr>
        <w:t xml:space="preserve"> fijo + salida de cable para conexión de cámara tipo cepillo, similar a </w:t>
      </w:r>
      <w:proofErr w:type="spellStart"/>
      <w:r w:rsidRPr="00A27653">
        <w:rPr>
          <w:rFonts w:ascii="Times New Roman" w:eastAsia="Calibri" w:hAnsi="Times New Roman"/>
          <w:color w:val="000000"/>
          <w:szCs w:val="22"/>
          <w:lang w:eastAsia="en-US"/>
        </w:rPr>
        <w:t>ortronics</w:t>
      </w:r>
      <w:proofErr w:type="spellEnd"/>
      <w:r w:rsidRPr="00A27653">
        <w:rPr>
          <w:rFonts w:ascii="Times New Roman" w:eastAsia="Calibri" w:hAnsi="Times New Roman"/>
          <w:color w:val="000000"/>
          <w:szCs w:val="22"/>
          <w:lang w:eastAsia="en-US"/>
        </w:rPr>
        <w:t xml:space="preserve"> código wp1014-wh o similar</w:t>
      </w:r>
    </w:p>
    <w:p w14:paraId="42BFBDDB"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50E34569"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 xml:space="preserve">cable categoría 5e. con chaqueta de PVC. resistente a la </w:t>
      </w:r>
      <w:proofErr w:type="spellStart"/>
      <w:r w:rsidRPr="00A27653">
        <w:rPr>
          <w:rFonts w:ascii="Times New Roman" w:eastAsia="Calibri" w:hAnsi="Times New Roman"/>
          <w:color w:val="000000"/>
          <w:szCs w:val="22"/>
          <w:lang w:eastAsia="en-US"/>
        </w:rPr>
        <w:t>interperie</w:t>
      </w:r>
      <w:proofErr w:type="spellEnd"/>
      <w:r w:rsidRPr="00A27653">
        <w:rPr>
          <w:rFonts w:ascii="Times New Roman" w:eastAsia="Calibri" w:hAnsi="Times New Roman"/>
          <w:color w:val="000000"/>
          <w:szCs w:val="22"/>
          <w:lang w:eastAsia="en-US"/>
        </w:rPr>
        <w:t xml:space="preserve">, para interior/exterior, calibre 24, ul444, ul1666, color gris. </w:t>
      </w:r>
      <w:proofErr w:type="spellStart"/>
      <w:r w:rsidRPr="00A27653">
        <w:rPr>
          <w:rFonts w:ascii="Times New Roman" w:eastAsia="Calibri" w:hAnsi="Times New Roman"/>
          <w:color w:val="000000"/>
          <w:szCs w:val="22"/>
          <w:lang w:eastAsia="en-US"/>
        </w:rPr>
        <w:t>ortronics</w:t>
      </w:r>
      <w:proofErr w:type="spellEnd"/>
      <w:r w:rsidRPr="00A27653">
        <w:rPr>
          <w:rFonts w:ascii="Times New Roman" w:eastAsia="Calibri" w:hAnsi="Times New Roman"/>
          <w:color w:val="000000"/>
          <w:szCs w:val="22"/>
          <w:lang w:eastAsia="en-US"/>
        </w:rPr>
        <w:t xml:space="preserve"> cat. 51-240- 31 o similar</w:t>
      </w:r>
    </w:p>
    <w:p w14:paraId="39EAB898"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7CB864D3"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DVR lo definirá el desarrollador.</w:t>
      </w:r>
    </w:p>
    <w:p w14:paraId="4900E90A"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Cajas tipo plexo en área de exterior.</w:t>
      </w:r>
    </w:p>
    <w:p w14:paraId="42F8FE2C"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653BBA25"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13.2.</w:t>
      </w:r>
      <w:r w:rsidRPr="00A27653">
        <w:rPr>
          <w:rFonts w:ascii="Times New Roman" w:eastAsia="Calibri" w:hAnsi="Times New Roman"/>
          <w:color w:val="000000"/>
          <w:szCs w:val="22"/>
          <w:lang w:eastAsia="en-US"/>
        </w:rPr>
        <w:tab/>
        <w:t>RED DE TIERRA</w:t>
      </w:r>
    </w:p>
    <w:p w14:paraId="3F610751"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 xml:space="preserve">Tubería Conduit Galvanizado sobrepuesta en losa sobre riel </w:t>
      </w:r>
      <w:proofErr w:type="spellStart"/>
      <w:r w:rsidRPr="00A27653">
        <w:rPr>
          <w:rFonts w:ascii="Times New Roman" w:eastAsia="Calibri" w:hAnsi="Times New Roman"/>
          <w:color w:val="000000"/>
          <w:szCs w:val="22"/>
          <w:lang w:eastAsia="en-US"/>
        </w:rPr>
        <w:t>unistrut</w:t>
      </w:r>
      <w:proofErr w:type="spellEnd"/>
      <w:r w:rsidRPr="00A27653">
        <w:rPr>
          <w:rFonts w:ascii="Times New Roman" w:eastAsia="Calibri" w:hAnsi="Times New Roman"/>
          <w:color w:val="000000"/>
          <w:szCs w:val="22"/>
          <w:lang w:eastAsia="en-US"/>
        </w:rPr>
        <w:t xml:space="preserve"> p-1000.</w:t>
      </w:r>
    </w:p>
    <w:p w14:paraId="08627B28"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Varilla de acero con recubrimiento de cobre 5/8/x8” unida a cable con soldadura exotérmica.</w:t>
      </w:r>
    </w:p>
    <w:p w14:paraId="451B6102"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Cable de cobre desnudo calibre #1/0 THHN en piso profundidad 0.60M.</w:t>
      </w:r>
    </w:p>
    <w:p w14:paraId="46655B66"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Varilla de cobre 8 pies en pozo de visita fundido en piso de 0.30M X 0.30M x 0.60M.</w:t>
      </w:r>
    </w:p>
    <w:p w14:paraId="39703172"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 xml:space="preserve">Barra equipotencial con 4 bornes con aislador </w:t>
      </w:r>
      <w:proofErr w:type="spellStart"/>
      <w:r w:rsidRPr="00A27653">
        <w:rPr>
          <w:rFonts w:ascii="Times New Roman" w:eastAsia="Calibri" w:hAnsi="Times New Roman"/>
          <w:color w:val="000000"/>
          <w:szCs w:val="22"/>
          <w:lang w:eastAsia="en-US"/>
        </w:rPr>
        <w:t>Ingesco</w:t>
      </w:r>
      <w:proofErr w:type="spellEnd"/>
      <w:r w:rsidRPr="00A27653">
        <w:rPr>
          <w:rFonts w:ascii="Times New Roman" w:eastAsia="Calibri" w:hAnsi="Times New Roman"/>
          <w:color w:val="000000"/>
          <w:szCs w:val="22"/>
          <w:lang w:eastAsia="en-US"/>
        </w:rPr>
        <w:t xml:space="preserve"> o similar.</w:t>
      </w:r>
    </w:p>
    <w:p w14:paraId="2025B0A4"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 xml:space="preserve">Kit para toma de tierra pata de ganso </w:t>
      </w:r>
      <w:proofErr w:type="spellStart"/>
      <w:r w:rsidRPr="00A27653">
        <w:rPr>
          <w:rFonts w:ascii="Times New Roman" w:eastAsia="Calibri" w:hAnsi="Times New Roman"/>
          <w:color w:val="000000"/>
          <w:szCs w:val="22"/>
          <w:lang w:eastAsia="en-US"/>
        </w:rPr>
        <w:t>Ingesco</w:t>
      </w:r>
      <w:proofErr w:type="spellEnd"/>
      <w:r w:rsidRPr="00A27653">
        <w:rPr>
          <w:rFonts w:ascii="Times New Roman" w:eastAsia="Calibri" w:hAnsi="Times New Roman"/>
          <w:color w:val="000000"/>
          <w:szCs w:val="22"/>
          <w:lang w:eastAsia="en-US"/>
        </w:rPr>
        <w:t xml:space="preserve"> o similar.</w:t>
      </w:r>
    </w:p>
    <w:p w14:paraId="60F64F54"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644E3BDB"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La red de tierras estará siendo entregada por el desarrollador, el cual deberá de cumplir con un valor menor de 5Ω</w:t>
      </w:r>
    </w:p>
    <w:p w14:paraId="285B2171"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 xml:space="preserve"> </w:t>
      </w:r>
    </w:p>
    <w:p w14:paraId="4B1EC092"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75CE76AE"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13.3.</w:t>
      </w:r>
      <w:r w:rsidRPr="00A27653">
        <w:rPr>
          <w:rFonts w:ascii="Times New Roman" w:eastAsia="Calibri" w:hAnsi="Times New Roman"/>
          <w:color w:val="000000"/>
          <w:szCs w:val="22"/>
          <w:lang w:eastAsia="en-US"/>
        </w:rPr>
        <w:tab/>
        <w:t>SISTEMA DE SONIDO:</w:t>
      </w:r>
    </w:p>
    <w:p w14:paraId="0CABE2A8"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Amplificador modelo lo definirá el desarrollador.</w:t>
      </w:r>
    </w:p>
    <w:p w14:paraId="3922FACF"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Salida de micrófonos lo definirá el desarrollador</w:t>
      </w:r>
    </w:p>
    <w:p w14:paraId="0DFC9E62"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Bocinas lo definirá el desarrollador.</w:t>
      </w:r>
    </w:p>
    <w:p w14:paraId="2F54DE82"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Cableado lo definirá el desarrollador.</w:t>
      </w:r>
    </w:p>
    <w:p w14:paraId="65E8F0F3"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34707E4F"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13.4.</w:t>
      </w:r>
      <w:r w:rsidRPr="00A27653">
        <w:rPr>
          <w:rFonts w:ascii="Times New Roman" w:eastAsia="Calibri" w:hAnsi="Times New Roman"/>
          <w:color w:val="000000"/>
          <w:szCs w:val="22"/>
          <w:lang w:eastAsia="en-US"/>
        </w:rPr>
        <w:tab/>
        <w:t>EQUIPOS AC TIPO CASSETTE</w:t>
      </w:r>
    </w:p>
    <w:p w14:paraId="5AAA62FB"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13.4.1.</w:t>
      </w:r>
      <w:r w:rsidRPr="00A27653">
        <w:rPr>
          <w:rFonts w:ascii="Times New Roman" w:eastAsia="Calibri" w:hAnsi="Times New Roman"/>
          <w:color w:val="000000"/>
          <w:szCs w:val="22"/>
          <w:lang w:eastAsia="en-US"/>
        </w:rPr>
        <w:tab/>
        <w:t>UNIDAD INTERIOR DE FLUJO DE REFRIGERANTE VARIABLE (VRF):</w:t>
      </w:r>
    </w:p>
    <w:p w14:paraId="55A41F8F"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145B8BC4" w14:textId="77777777" w:rsidR="00A27653" w:rsidRPr="00A27653" w:rsidRDefault="00A27653" w:rsidP="00A27653">
      <w:pPr>
        <w:autoSpaceDE w:val="0"/>
        <w:autoSpaceDN w:val="0"/>
        <w:adjustRightInd w:val="0"/>
        <w:jc w:val="both"/>
        <w:rPr>
          <w:rFonts w:ascii="Times New Roman" w:eastAsia="Calibri" w:hAnsi="Times New Roman"/>
          <w:color w:val="000000"/>
          <w:szCs w:val="22"/>
          <w:lang w:val="en-US"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val="en-US" w:eastAsia="en-US"/>
        </w:rPr>
        <w:tab/>
        <w:t xml:space="preserve">8 </w:t>
      </w:r>
      <w:proofErr w:type="spellStart"/>
      <w:r w:rsidRPr="00A27653">
        <w:rPr>
          <w:rFonts w:ascii="Times New Roman" w:eastAsia="Calibri" w:hAnsi="Times New Roman"/>
          <w:color w:val="000000"/>
          <w:szCs w:val="22"/>
          <w:lang w:val="en-US" w:eastAsia="en-US"/>
        </w:rPr>
        <w:t>unidades</w:t>
      </w:r>
      <w:proofErr w:type="spellEnd"/>
      <w:r w:rsidRPr="00A27653">
        <w:rPr>
          <w:rFonts w:ascii="Times New Roman" w:eastAsia="Calibri" w:hAnsi="Times New Roman"/>
          <w:color w:val="000000"/>
          <w:szCs w:val="22"/>
          <w:lang w:val="en-US" w:eastAsia="en-US"/>
        </w:rPr>
        <w:t xml:space="preserve"> AM048NN4DCH/AA “Samsung”</w:t>
      </w:r>
    </w:p>
    <w:p w14:paraId="170D9760" w14:textId="77777777" w:rsidR="00A27653" w:rsidRPr="00A27653" w:rsidRDefault="00A27653" w:rsidP="00A27653">
      <w:pPr>
        <w:autoSpaceDE w:val="0"/>
        <w:autoSpaceDN w:val="0"/>
        <w:adjustRightInd w:val="0"/>
        <w:jc w:val="both"/>
        <w:rPr>
          <w:rFonts w:ascii="Times New Roman" w:eastAsia="Calibri" w:hAnsi="Times New Roman"/>
          <w:color w:val="000000"/>
          <w:szCs w:val="22"/>
          <w:lang w:val="en-US" w:eastAsia="en-US"/>
        </w:rPr>
      </w:pPr>
    </w:p>
    <w:p w14:paraId="7F75080D" w14:textId="77777777" w:rsidR="00A27653" w:rsidRPr="00A27653" w:rsidRDefault="00A27653" w:rsidP="00A27653">
      <w:pPr>
        <w:autoSpaceDE w:val="0"/>
        <w:autoSpaceDN w:val="0"/>
        <w:adjustRightInd w:val="0"/>
        <w:jc w:val="both"/>
        <w:rPr>
          <w:rFonts w:ascii="Times New Roman" w:eastAsia="Calibri" w:hAnsi="Times New Roman"/>
          <w:color w:val="000000"/>
          <w:szCs w:val="22"/>
          <w:lang w:val="en-US"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val="en-US" w:eastAsia="en-US"/>
        </w:rPr>
        <w:tab/>
        <w:t xml:space="preserve">3 </w:t>
      </w:r>
      <w:proofErr w:type="spellStart"/>
      <w:r w:rsidRPr="00A27653">
        <w:rPr>
          <w:rFonts w:ascii="Times New Roman" w:eastAsia="Calibri" w:hAnsi="Times New Roman"/>
          <w:color w:val="000000"/>
          <w:szCs w:val="22"/>
          <w:lang w:val="en-US" w:eastAsia="en-US"/>
        </w:rPr>
        <w:t>unidades</w:t>
      </w:r>
      <w:proofErr w:type="spellEnd"/>
      <w:r w:rsidRPr="00A27653">
        <w:rPr>
          <w:rFonts w:ascii="Times New Roman" w:eastAsia="Calibri" w:hAnsi="Times New Roman"/>
          <w:color w:val="000000"/>
          <w:szCs w:val="22"/>
          <w:lang w:val="en-US" w:eastAsia="en-US"/>
        </w:rPr>
        <w:t xml:space="preserve"> AM032MNQDCH/AA “Samsung”</w:t>
      </w:r>
    </w:p>
    <w:p w14:paraId="47C2D42E" w14:textId="77777777" w:rsidR="00A27653" w:rsidRPr="00A27653" w:rsidRDefault="00A27653" w:rsidP="00A27653">
      <w:pPr>
        <w:autoSpaceDE w:val="0"/>
        <w:autoSpaceDN w:val="0"/>
        <w:adjustRightInd w:val="0"/>
        <w:jc w:val="both"/>
        <w:rPr>
          <w:rFonts w:ascii="Times New Roman" w:eastAsia="Calibri" w:hAnsi="Times New Roman"/>
          <w:color w:val="000000"/>
          <w:szCs w:val="22"/>
          <w:lang w:val="en-US" w:eastAsia="en-US"/>
        </w:rPr>
      </w:pPr>
    </w:p>
    <w:p w14:paraId="1852D37D" w14:textId="77777777" w:rsidR="00A27653" w:rsidRPr="00A27653" w:rsidRDefault="00A27653" w:rsidP="00A27653">
      <w:pPr>
        <w:autoSpaceDE w:val="0"/>
        <w:autoSpaceDN w:val="0"/>
        <w:adjustRightInd w:val="0"/>
        <w:jc w:val="both"/>
        <w:rPr>
          <w:rFonts w:ascii="Times New Roman" w:eastAsia="Calibri" w:hAnsi="Times New Roman"/>
          <w:color w:val="000000"/>
          <w:szCs w:val="22"/>
          <w:lang w:val="en-US"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val="en-US" w:eastAsia="en-US"/>
        </w:rPr>
        <w:tab/>
        <w:t xml:space="preserve">1 </w:t>
      </w:r>
      <w:proofErr w:type="spellStart"/>
      <w:r w:rsidRPr="00A27653">
        <w:rPr>
          <w:rFonts w:ascii="Times New Roman" w:eastAsia="Calibri" w:hAnsi="Times New Roman"/>
          <w:color w:val="000000"/>
          <w:szCs w:val="22"/>
          <w:lang w:val="en-US" w:eastAsia="en-US"/>
        </w:rPr>
        <w:t>unidades</w:t>
      </w:r>
      <w:proofErr w:type="spellEnd"/>
      <w:r w:rsidRPr="00A27653">
        <w:rPr>
          <w:rFonts w:ascii="Times New Roman" w:eastAsia="Calibri" w:hAnsi="Times New Roman"/>
          <w:color w:val="000000"/>
          <w:szCs w:val="22"/>
          <w:lang w:val="en-US" w:eastAsia="en-US"/>
        </w:rPr>
        <w:t xml:space="preserve"> AM024KNQDCH/AZ “Samsung”</w:t>
      </w:r>
    </w:p>
    <w:p w14:paraId="3C880FAB" w14:textId="77777777" w:rsidR="00A27653" w:rsidRPr="00A27653" w:rsidRDefault="00A27653" w:rsidP="00A27653">
      <w:pPr>
        <w:autoSpaceDE w:val="0"/>
        <w:autoSpaceDN w:val="0"/>
        <w:adjustRightInd w:val="0"/>
        <w:jc w:val="both"/>
        <w:rPr>
          <w:rFonts w:ascii="Times New Roman" w:eastAsia="Calibri" w:hAnsi="Times New Roman"/>
          <w:color w:val="000000"/>
          <w:szCs w:val="22"/>
          <w:lang w:val="en-US" w:eastAsia="en-US"/>
        </w:rPr>
      </w:pPr>
    </w:p>
    <w:p w14:paraId="4ACDE1DF" w14:textId="77777777" w:rsidR="00A27653" w:rsidRPr="00A27653" w:rsidRDefault="00A27653" w:rsidP="00A27653">
      <w:pPr>
        <w:autoSpaceDE w:val="0"/>
        <w:autoSpaceDN w:val="0"/>
        <w:adjustRightInd w:val="0"/>
        <w:jc w:val="both"/>
        <w:rPr>
          <w:rFonts w:ascii="Times New Roman" w:eastAsia="Calibri" w:hAnsi="Times New Roman"/>
          <w:color w:val="000000"/>
          <w:szCs w:val="22"/>
          <w:lang w:val="en-US"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val="en-US" w:eastAsia="en-US"/>
        </w:rPr>
        <w:tab/>
        <w:t xml:space="preserve">2 </w:t>
      </w:r>
      <w:proofErr w:type="spellStart"/>
      <w:r w:rsidRPr="00A27653">
        <w:rPr>
          <w:rFonts w:ascii="Times New Roman" w:eastAsia="Calibri" w:hAnsi="Times New Roman"/>
          <w:color w:val="000000"/>
          <w:szCs w:val="22"/>
          <w:lang w:val="en-US" w:eastAsia="en-US"/>
        </w:rPr>
        <w:t>unidades</w:t>
      </w:r>
      <w:proofErr w:type="spellEnd"/>
      <w:r w:rsidRPr="00A27653">
        <w:rPr>
          <w:rFonts w:ascii="Times New Roman" w:eastAsia="Calibri" w:hAnsi="Times New Roman"/>
          <w:color w:val="000000"/>
          <w:szCs w:val="22"/>
          <w:lang w:val="en-US" w:eastAsia="en-US"/>
        </w:rPr>
        <w:t xml:space="preserve"> AM020KNQDCH/AZ “Samsung”</w:t>
      </w:r>
    </w:p>
    <w:p w14:paraId="575EFE2E" w14:textId="77777777" w:rsidR="00A27653" w:rsidRPr="00A27653" w:rsidRDefault="00A27653" w:rsidP="00A27653">
      <w:pPr>
        <w:autoSpaceDE w:val="0"/>
        <w:autoSpaceDN w:val="0"/>
        <w:adjustRightInd w:val="0"/>
        <w:jc w:val="both"/>
        <w:rPr>
          <w:rFonts w:ascii="Times New Roman" w:eastAsia="Calibri" w:hAnsi="Times New Roman"/>
          <w:color w:val="000000"/>
          <w:szCs w:val="22"/>
          <w:lang w:val="en-US" w:eastAsia="en-US"/>
        </w:rPr>
      </w:pPr>
    </w:p>
    <w:p w14:paraId="724A0034" w14:textId="77777777" w:rsidR="00A27653" w:rsidRPr="00A27653" w:rsidRDefault="00A27653" w:rsidP="00A27653">
      <w:pPr>
        <w:autoSpaceDE w:val="0"/>
        <w:autoSpaceDN w:val="0"/>
        <w:adjustRightInd w:val="0"/>
        <w:jc w:val="both"/>
        <w:rPr>
          <w:rFonts w:ascii="Times New Roman" w:eastAsia="Calibri" w:hAnsi="Times New Roman"/>
          <w:color w:val="000000"/>
          <w:szCs w:val="22"/>
          <w:lang w:val="en-US"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val="en-US" w:eastAsia="en-US"/>
        </w:rPr>
        <w:tab/>
        <w:t xml:space="preserve">3 </w:t>
      </w:r>
      <w:proofErr w:type="spellStart"/>
      <w:r w:rsidRPr="00A27653">
        <w:rPr>
          <w:rFonts w:ascii="Times New Roman" w:eastAsia="Calibri" w:hAnsi="Times New Roman"/>
          <w:color w:val="000000"/>
          <w:szCs w:val="22"/>
          <w:lang w:val="en-US" w:eastAsia="en-US"/>
        </w:rPr>
        <w:t>unidades</w:t>
      </w:r>
      <w:proofErr w:type="spellEnd"/>
      <w:r w:rsidRPr="00A27653">
        <w:rPr>
          <w:rFonts w:ascii="Times New Roman" w:eastAsia="Calibri" w:hAnsi="Times New Roman"/>
          <w:color w:val="000000"/>
          <w:szCs w:val="22"/>
          <w:lang w:val="en-US" w:eastAsia="en-US"/>
        </w:rPr>
        <w:t xml:space="preserve"> AM018KNQDCH/AZ “Samsung”</w:t>
      </w:r>
    </w:p>
    <w:p w14:paraId="1BF6AE66" w14:textId="77777777" w:rsidR="00A27653" w:rsidRPr="00A27653" w:rsidRDefault="00A27653" w:rsidP="00A27653">
      <w:pPr>
        <w:autoSpaceDE w:val="0"/>
        <w:autoSpaceDN w:val="0"/>
        <w:adjustRightInd w:val="0"/>
        <w:jc w:val="both"/>
        <w:rPr>
          <w:rFonts w:ascii="Times New Roman" w:eastAsia="Calibri" w:hAnsi="Times New Roman"/>
          <w:color w:val="000000"/>
          <w:szCs w:val="22"/>
          <w:lang w:val="en-US" w:eastAsia="en-US"/>
        </w:rPr>
      </w:pPr>
    </w:p>
    <w:p w14:paraId="618D3AEC" w14:textId="77777777" w:rsidR="00A27653" w:rsidRPr="00A27653" w:rsidRDefault="00A27653" w:rsidP="00A27653">
      <w:pPr>
        <w:autoSpaceDE w:val="0"/>
        <w:autoSpaceDN w:val="0"/>
        <w:adjustRightInd w:val="0"/>
        <w:jc w:val="both"/>
        <w:rPr>
          <w:rFonts w:ascii="Times New Roman" w:eastAsia="Calibri" w:hAnsi="Times New Roman"/>
          <w:color w:val="000000"/>
          <w:szCs w:val="22"/>
          <w:lang w:val="en-US"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val="en-US" w:eastAsia="en-US"/>
        </w:rPr>
        <w:tab/>
        <w:t xml:space="preserve">3 </w:t>
      </w:r>
      <w:proofErr w:type="spellStart"/>
      <w:r w:rsidRPr="00A27653">
        <w:rPr>
          <w:rFonts w:ascii="Times New Roman" w:eastAsia="Calibri" w:hAnsi="Times New Roman"/>
          <w:color w:val="000000"/>
          <w:szCs w:val="22"/>
          <w:lang w:val="en-US" w:eastAsia="en-US"/>
        </w:rPr>
        <w:t>unidades</w:t>
      </w:r>
      <w:proofErr w:type="spellEnd"/>
      <w:r w:rsidRPr="00A27653">
        <w:rPr>
          <w:rFonts w:ascii="Times New Roman" w:eastAsia="Calibri" w:hAnsi="Times New Roman"/>
          <w:color w:val="000000"/>
          <w:szCs w:val="22"/>
          <w:lang w:val="en-US" w:eastAsia="en-US"/>
        </w:rPr>
        <w:t xml:space="preserve"> AM012KNQDCH/AZ “Samsung”</w:t>
      </w:r>
    </w:p>
    <w:p w14:paraId="021A4E99" w14:textId="77777777" w:rsidR="00A27653" w:rsidRPr="00A27653" w:rsidRDefault="00A27653" w:rsidP="00A27653">
      <w:pPr>
        <w:autoSpaceDE w:val="0"/>
        <w:autoSpaceDN w:val="0"/>
        <w:adjustRightInd w:val="0"/>
        <w:jc w:val="both"/>
        <w:rPr>
          <w:rFonts w:ascii="Times New Roman" w:eastAsia="Calibri" w:hAnsi="Times New Roman"/>
          <w:color w:val="000000"/>
          <w:szCs w:val="22"/>
          <w:lang w:val="en-US" w:eastAsia="en-US"/>
        </w:rPr>
      </w:pPr>
    </w:p>
    <w:p w14:paraId="4645F569" w14:textId="77777777" w:rsidR="00A27653" w:rsidRPr="00A27653" w:rsidRDefault="00A27653" w:rsidP="00A27653">
      <w:pPr>
        <w:autoSpaceDE w:val="0"/>
        <w:autoSpaceDN w:val="0"/>
        <w:adjustRightInd w:val="0"/>
        <w:jc w:val="both"/>
        <w:rPr>
          <w:rFonts w:ascii="Times New Roman" w:eastAsia="Calibri" w:hAnsi="Times New Roman"/>
          <w:color w:val="000000"/>
          <w:szCs w:val="22"/>
          <w:lang w:val="en-US"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val="en-US" w:eastAsia="en-US"/>
        </w:rPr>
        <w:tab/>
        <w:t xml:space="preserve">3 </w:t>
      </w:r>
      <w:proofErr w:type="spellStart"/>
      <w:r w:rsidRPr="00A27653">
        <w:rPr>
          <w:rFonts w:ascii="Times New Roman" w:eastAsia="Calibri" w:hAnsi="Times New Roman"/>
          <w:color w:val="000000"/>
          <w:szCs w:val="22"/>
          <w:lang w:val="en-US" w:eastAsia="en-US"/>
        </w:rPr>
        <w:t>unidades</w:t>
      </w:r>
      <w:proofErr w:type="spellEnd"/>
      <w:r w:rsidRPr="00A27653">
        <w:rPr>
          <w:rFonts w:ascii="Times New Roman" w:eastAsia="Calibri" w:hAnsi="Times New Roman"/>
          <w:color w:val="000000"/>
          <w:szCs w:val="22"/>
          <w:lang w:val="en-US" w:eastAsia="en-US"/>
        </w:rPr>
        <w:t xml:space="preserve"> AM009KNQDCH/AZ “Samsung”</w:t>
      </w:r>
    </w:p>
    <w:p w14:paraId="04E48EF9" w14:textId="77777777" w:rsidR="00A27653" w:rsidRPr="00A27653" w:rsidRDefault="00A27653" w:rsidP="00A27653">
      <w:pPr>
        <w:autoSpaceDE w:val="0"/>
        <w:autoSpaceDN w:val="0"/>
        <w:adjustRightInd w:val="0"/>
        <w:jc w:val="both"/>
        <w:rPr>
          <w:rFonts w:ascii="Times New Roman" w:eastAsia="Calibri" w:hAnsi="Times New Roman"/>
          <w:color w:val="000000"/>
          <w:szCs w:val="22"/>
          <w:lang w:val="en-US" w:eastAsia="en-US"/>
        </w:rPr>
      </w:pPr>
    </w:p>
    <w:p w14:paraId="4F4D980F" w14:textId="77777777" w:rsidR="00A27653" w:rsidRPr="00A27653" w:rsidRDefault="00A27653" w:rsidP="00A27653">
      <w:pPr>
        <w:autoSpaceDE w:val="0"/>
        <w:autoSpaceDN w:val="0"/>
        <w:adjustRightInd w:val="0"/>
        <w:jc w:val="both"/>
        <w:rPr>
          <w:rFonts w:ascii="Times New Roman" w:eastAsia="Calibri" w:hAnsi="Times New Roman"/>
          <w:color w:val="000000"/>
          <w:szCs w:val="22"/>
          <w:lang w:val="en-US"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val="en-US" w:eastAsia="en-US"/>
        </w:rPr>
        <w:tab/>
        <w:t xml:space="preserve">7 </w:t>
      </w:r>
      <w:proofErr w:type="spellStart"/>
      <w:r w:rsidRPr="00A27653">
        <w:rPr>
          <w:rFonts w:ascii="Times New Roman" w:eastAsia="Calibri" w:hAnsi="Times New Roman"/>
          <w:color w:val="000000"/>
          <w:szCs w:val="22"/>
          <w:lang w:val="en-US" w:eastAsia="en-US"/>
        </w:rPr>
        <w:t>unidades</w:t>
      </w:r>
      <w:proofErr w:type="spellEnd"/>
      <w:r w:rsidRPr="00A27653">
        <w:rPr>
          <w:rFonts w:ascii="Times New Roman" w:eastAsia="Calibri" w:hAnsi="Times New Roman"/>
          <w:color w:val="000000"/>
          <w:szCs w:val="22"/>
          <w:lang w:val="en-US" w:eastAsia="en-US"/>
        </w:rPr>
        <w:t xml:space="preserve"> AM007KNQDCH/AZ “Samsung”</w:t>
      </w:r>
    </w:p>
    <w:p w14:paraId="6ECF5ABA" w14:textId="77777777" w:rsidR="00A27653" w:rsidRPr="00A27653" w:rsidRDefault="00A27653" w:rsidP="00A27653">
      <w:pPr>
        <w:autoSpaceDE w:val="0"/>
        <w:autoSpaceDN w:val="0"/>
        <w:adjustRightInd w:val="0"/>
        <w:jc w:val="both"/>
        <w:rPr>
          <w:rFonts w:ascii="Times New Roman" w:eastAsia="Calibri" w:hAnsi="Times New Roman"/>
          <w:color w:val="000000"/>
          <w:szCs w:val="22"/>
          <w:lang w:val="en-US" w:eastAsia="en-US"/>
        </w:rPr>
      </w:pPr>
    </w:p>
    <w:p w14:paraId="23D88543" w14:textId="77777777" w:rsidR="00A27653" w:rsidRPr="00A27653" w:rsidRDefault="00A27653" w:rsidP="00A27653">
      <w:pPr>
        <w:autoSpaceDE w:val="0"/>
        <w:autoSpaceDN w:val="0"/>
        <w:adjustRightInd w:val="0"/>
        <w:jc w:val="both"/>
        <w:rPr>
          <w:rFonts w:ascii="Times New Roman" w:eastAsia="Calibri" w:hAnsi="Times New Roman"/>
          <w:color w:val="000000"/>
          <w:szCs w:val="22"/>
          <w:lang w:val="en-US" w:eastAsia="en-US"/>
        </w:rPr>
      </w:pPr>
    </w:p>
    <w:p w14:paraId="447D2033"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13.5.</w:t>
      </w:r>
      <w:r w:rsidRPr="00A27653">
        <w:rPr>
          <w:rFonts w:ascii="Times New Roman" w:eastAsia="Calibri" w:hAnsi="Times New Roman"/>
          <w:color w:val="000000"/>
          <w:szCs w:val="22"/>
          <w:lang w:eastAsia="en-US"/>
        </w:rPr>
        <w:tab/>
        <w:t>EQUIPOS AC CONDENSADORAS:</w:t>
      </w:r>
    </w:p>
    <w:p w14:paraId="0F491B99"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02B4729C"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1 unidad AM280CXVAFC/AZ “Samsung”</w:t>
      </w:r>
    </w:p>
    <w:p w14:paraId="5F9D7CB9"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37C6ABF0"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1 unidad AM300CXVAFC/AZ “Samsung”</w:t>
      </w:r>
    </w:p>
    <w:p w14:paraId="5BBEE1CA"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44E8E6C9"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35EA9625"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13.6.</w:t>
      </w:r>
      <w:r w:rsidRPr="00A27653">
        <w:rPr>
          <w:rFonts w:ascii="Times New Roman" w:eastAsia="Calibri" w:hAnsi="Times New Roman"/>
          <w:color w:val="000000"/>
          <w:szCs w:val="22"/>
          <w:lang w:eastAsia="en-US"/>
        </w:rPr>
        <w:tab/>
        <w:t>SISTEMA DE ESPECIALES ACCESOS</w:t>
      </w:r>
    </w:p>
    <w:p w14:paraId="038EDD37"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1AC93D4E"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 xml:space="preserve">control de asistencia equipado con pulsador en el frontal. hasta 99 códigos de usuario. consumo: 75 </w:t>
      </w:r>
      <w:proofErr w:type="spellStart"/>
      <w:r w:rsidRPr="00A27653">
        <w:rPr>
          <w:rFonts w:ascii="Times New Roman" w:eastAsia="Calibri" w:hAnsi="Times New Roman"/>
          <w:color w:val="000000"/>
          <w:szCs w:val="22"/>
          <w:lang w:eastAsia="en-US"/>
        </w:rPr>
        <w:t>ma</w:t>
      </w:r>
      <w:proofErr w:type="spellEnd"/>
      <w:r w:rsidRPr="00A27653">
        <w:rPr>
          <w:rFonts w:ascii="Times New Roman" w:eastAsia="Calibri" w:hAnsi="Times New Roman"/>
          <w:color w:val="000000"/>
          <w:szCs w:val="22"/>
          <w:lang w:eastAsia="en-US"/>
        </w:rPr>
        <w:t xml:space="preserve"> en 120v. código 077878 </w:t>
      </w:r>
      <w:proofErr w:type="spellStart"/>
      <w:r w:rsidRPr="00A27653">
        <w:rPr>
          <w:rFonts w:ascii="Times New Roman" w:eastAsia="Calibri" w:hAnsi="Times New Roman"/>
          <w:color w:val="000000"/>
          <w:szCs w:val="22"/>
          <w:lang w:eastAsia="en-US"/>
        </w:rPr>
        <w:t>legrand</w:t>
      </w:r>
      <w:proofErr w:type="spellEnd"/>
      <w:r w:rsidRPr="00A27653">
        <w:rPr>
          <w:rFonts w:ascii="Times New Roman" w:eastAsia="Calibri" w:hAnsi="Times New Roman"/>
          <w:color w:val="000000"/>
          <w:szCs w:val="22"/>
          <w:lang w:eastAsia="en-US"/>
        </w:rPr>
        <w:t xml:space="preserve"> o similar + tomacorriente regulado</w:t>
      </w:r>
    </w:p>
    <w:p w14:paraId="3541A743"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salida de control de acceso.</w:t>
      </w:r>
    </w:p>
    <w:p w14:paraId="32BA8B95"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Chapa eléctrica.</w:t>
      </w:r>
    </w:p>
    <w:p w14:paraId="3989AF97"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7222133D"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13.7.</w:t>
      </w:r>
      <w:r w:rsidRPr="00A27653">
        <w:rPr>
          <w:rFonts w:ascii="Times New Roman" w:eastAsia="Calibri" w:hAnsi="Times New Roman"/>
          <w:color w:val="000000"/>
          <w:szCs w:val="22"/>
          <w:lang w:eastAsia="en-US"/>
        </w:rPr>
        <w:tab/>
        <w:t>SISTEMA DE ALARMA</w:t>
      </w:r>
    </w:p>
    <w:p w14:paraId="2048EDC5"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28D6538B"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Panel de alarma lo definirá el desarrollador.</w:t>
      </w:r>
    </w:p>
    <w:p w14:paraId="414FBF15"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Indica sensor de movimiento 360º lo definirá el desarrollador.</w:t>
      </w:r>
    </w:p>
    <w:p w14:paraId="2B625C53"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Sensor de golpe lo definirá el desarrollador.</w:t>
      </w:r>
    </w:p>
    <w:p w14:paraId="777CB1DE"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Sensor de movimiento 90º.</w:t>
      </w:r>
    </w:p>
    <w:p w14:paraId="4CC2DE47" w14:textId="493FC3B6"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r>
      <w:proofErr w:type="spellStart"/>
      <w:r w:rsidRPr="00A27653">
        <w:rPr>
          <w:rFonts w:ascii="Times New Roman" w:eastAsia="Calibri" w:hAnsi="Times New Roman"/>
          <w:color w:val="000000"/>
          <w:szCs w:val="22"/>
          <w:lang w:eastAsia="en-US"/>
        </w:rPr>
        <w:t>Tuberia</w:t>
      </w:r>
      <w:proofErr w:type="spellEnd"/>
      <w:r w:rsidRPr="00A27653">
        <w:rPr>
          <w:rFonts w:ascii="Times New Roman" w:eastAsia="Calibri" w:hAnsi="Times New Roman"/>
          <w:color w:val="000000"/>
          <w:szCs w:val="22"/>
          <w:lang w:eastAsia="en-US"/>
        </w:rPr>
        <w:t xml:space="preserve"> </w:t>
      </w:r>
      <w:proofErr w:type="spellStart"/>
      <w:r w:rsidRPr="00A27653">
        <w:rPr>
          <w:rFonts w:ascii="Times New Roman" w:eastAsia="Calibri" w:hAnsi="Times New Roman"/>
          <w:color w:val="000000"/>
          <w:szCs w:val="22"/>
          <w:lang w:eastAsia="en-US"/>
        </w:rPr>
        <w:t>emt</w:t>
      </w:r>
      <w:proofErr w:type="spellEnd"/>
      <w:r w:rsidRPr="00A27653">
        <w:rPr>
          <w:rFonts w:ascii="Times New Roman" w:eastAsia="Calibri" w:hAnsi="Times New Roman"/>
          <w:color w:val="000000"/>
          <w:szCs w:val="22"/>
          <w:lang w:eastAsia="en-US"/>
        </w:rPr>
        <w:t xml:space="preserve"> eléctrica.</w:t>
      </w:r>
    </w:p>
    <w:p w14:paraId="6AD639A9"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Caja de registro 4”x4” con tapa ciega.</w:t>
      </w:r>
    </w:p>
    <w:p w14:paraId="376EE981"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3500BCED"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13.8.</w:t>
      </w:r>
      <w:r w:rsidRPr="00A27653">
        <w:rPr>
          <w:rFonts w:ascii="Times New Roman" w:eastAsia="Calibri" w:hAnsi="Times New Roman"/>
          <w:color w:val="000000"/>
          <w:szCs w:val="22"/>
          <w:lang w:eastAsia="en-US"/>
        </w:rPr>
        <w:tab/>
        <w:t>SISTEMA DE WIFI.</w:t>
      </w:r>
    </w:p>
    <w:p w14:paraId="785C9960"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1374EA72"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 xml:space="preserve">El tipo y modelo del </w:t>
      </w:r>
      <w:proofErr w:type="spellStart"/>
      <w:r w:rsidRPr="00A27653">
        <w:rPr>
          <w:rFonts w:ascii="Times New Roman" w:eastAsia="Calibri" w:hAnsi="Times New Roman"/>
          <w:color w:val="000000"/>
          <w:szCs w:val="22"/>
          <w:lang w:eastAsia="en-US"/>
        </w:rPr>
        <w:t>Router</w:t>
      </w:r>
      <w:proofErr w:type="spellEnd"/>
      <w:r w:rsidRPr="00A27653">
        <w:rPr>
          <w:rFonts w:ascii="Times New Roman" w:eastAsia="Calibri" w:hAnsi="Times New Roman"/>
          <w:color w:val="000000"/>
          <w:szCs w:val="22"/>
          <w:lang w:eastAsia="en-US"/>
        </w:rPr>
        <w:t xml:space="preserve"> lo definirá el desarrollador.</w:t>
      </w:r>
    </w:p>
    <w:p w14:paraId="0752C08E"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 xml:space="preserve">cable categoría 5e. con chaqueta de PVC. resistente a la </w:t>
      </w:r>
      <w:proofErr w:type="spellStart"/>
      <w:r w:rsidRPr="00A27653">
        <w:rPr>
          <w:rFonts w:ascii="Times New Roman" w:eastAsia="Calibri" w:hAnsi="Times New Roman"/>
          <w:color w:val="000000"/>
          <w:szCs w:val="22"/>
          <w:lang w:eastAsia="en-US"/>
        </w:rPr>
        <w:t>interperie</w:t>
      </w:r>
      <w:proofErr w:type="spellEnd"/>
      <w:r w:rsidRPr="00A27653">
        <w:rPr>
          <w:rFonts w:ascii="Times New Roman" w:eastAsia="Calibri" w:hAnsi="Times New Roman"/>
          <w:color w:val="000000"/>
          <w:szCs w:val="22"/>
          <w:lang w:eastAsia="en-US"/>
        </w:rPr>
        <w:t xml:space="preserve">, para interior/exterior, calibre 24, ul444, ul1666, color gris. </w:t>
      </w:r>
      <w:proofErr w:type="spellStart"/>
      <w:r w:rsidRPr="00A27653">
        <w:rPr>
          <w:rFonts w:ascii="Times New Roman" w:eastAsia="Calibri" w:hAnsi="Times New Roman"/>
          <w:color w:val="000000"/>
          <w:szCs w:val="22"/>
          <w:lang w:eastAsia="en-US"/>
        </w:rPr>
        <w:t>ortronics</w:t>
      </w:r>
      <w:proofErr w:type="spellEnd"/>
      <w:r w:rsidRPr="00A27653">
        <w:rPr>
          <w:rFonts w:ascii="Times New Roman" w:eastAsia="Calibri" w:hAnsi="Times New Roman"/>
          <w:color w:val="000000"/>
          <w:szCs w:val="22"/>
          <w:lang w:eastAsia="en-US"/>
        </w:rPr>
        <w:t xml:space="preserve"> cat. 51-240-31 o similar</w:t>
      </w:r>
    </w:p>
    <w:p w14:paraId="0CB1B05A"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w:t>
      </w:r>
      <w:r w:rsidRPr="00A27653">
        <w:rPr>
          <w:rFonts w:ascii="Times New Roman" w:eastAsia="Calibri" w:hAnsi="Times New Roman"/>
          <w:color w:val="000000"/>
          <w:szCs w:val="22"/>
          <w:lang w:eastAsia="en-US"/>
        </w:rPr>
        <w:tab/>
        <w:t xml:space="preserve">Canaleta tipo malla de 8"x4" </w:t>
      </w:r>
      <w:proofErr w:type="spellStart"/>
      <w:r w:rsidRPr="00A27653">
        <w:rPr>
          <w:rFonts w:ascii="Times New Roman" w:eastAsia="Calibri" w:hAnsi="Times New Roman"/>
          <w:color w:val="000000"/>
          <w:szCs w:val="22"/>
          <w:lang w:eastAsia="en-US"/>
        </w:rPr>
        <w:t>ez</w:t>
      </w:r>
      <w:proofErr w:type="spellEnd"/>
      <w:r w:rsidRPr="00A27653">
        <w:rPr>
          <w:rFonts w:ascii="Times New Roman" w:eastAsia="Calibri" w:hAnsi="Times New Roman"/>
          <w:color w:val="000000"/>
          <w:szCs w:val="22"/>
          <w:lang w:eastAsia="en-US"/>
        </w:rPr>
        <w:t xml:space="preserve"> (bandeja y accesorios) electro-</w:t>
      </w:r>
      <w:proofErr w:type="spellStart"/>
      <w:r w:rsidRPr="00A27653">
        <w:rPr>
          <w:rFonts w:ascii="Times New Roman" w:eastAsia="Calibri" w:hAnsi="Times New Roman"/>
          <w:color w:val="000000"/>
          <w:szCs w:val="22"/>
          <w:lang w:eastAsia="en-US"/>
        </w:rPr>
        <w:t>zincado</w:t>
      </w:r>
      <w:proofErr w:type="spellEnd"/>
      <w:r w:rsidRPr="00A27653">
        <w:rPr>
          <w:rFonts w:ascii="Times New Roman" w:eastAsia="Calibri" w:hAnsi="Times New Roman"/>
          <w:color w:val="000000"/>
          <w:szCs w:val="22"/>
          <w:lang w:eastAsia="en-US"/>
        </w:rPr>
        <w:t xml:space="preserve"> </w:t>
      </w:r>
      <w:proofErr w:type="spellStart"/>
      <w:r w:rsidRPr="00A27653">
        <w:rPr>
          <w:rFonts w:ascii="Times New Roman" w:eastAsia="Calibri" w:hAnsi="Times New Roman"/>
          <w:color w:val="000000"/>
          <w:szCs w:val="22"/>
          <w:lang w:eastAsia="en-US"/>
        </w:rPr>
        <w:t>cablofil</w:t>
      </w:r>
      <w:proofErr w:type="spellEnd"/>
      <w:r w:rsidRPr="00A27653">
        <w:rPr>
          <w:rFonts w:ascii="Times New Roman" w:eastAsia="Calibri" w:hAnsi="Times New Roman"/>
          <w:color w:val="000000"/>
          <w:szCs w:val="22"/>
          <w:lang w:eastAsia="en-US"/>
        </w:rPr>
        <w:t xml:space="preserve"> o similar.</w:t>
      </w:r>
    </w:p>
    <w:p w14:paraId="17C718FB"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4C161612"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13.9.</w:t>
      </w:r>
      <w:r w:rsidRPr="00A27653">
        <w:rPr>
          <w:rFonts w:ascii="Times New Roman" w:eastAsia="Calibri" w:hAnsi="Times New Roman"/>
          <w:color w:val="000000"/>
          <w:szCs w:val="22"/>
          <w:lang w:eastAsia="en-US"/>
        </w:rPr>
        <w:tab/>
        <w:t>CANALIZACIONES.</w:t>
      </w:r>
    </w:p>
    <w:p w14:paraId="065995EC"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lastRenderedPageBreak/>
        <w:t>13.9.1.</w:t>
      </w:r>
      <w:r w:rsidRPr="00A27653">
        <w:rPr>
          <w:rFonts w:ascii="Times New Roman" w:eastAsia="Calibri" w:hAnsi="Times New Roman"/>
          <w:color w:val="000000"/>
          <w:szCs w:val="22"/>
          <w:lang w:eastAsia="en-US"/>
        </w:rPr>
        <w:tab/>
        <w:t>INTERNAS:</w:t>
      </w:r>
    </w:p>
    <w:p w14:paraId="35D928FF"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 xml:space="preserve">Para las canalizaciones en los sistemas de iluminación, fuerza y especiales de la Centro de retornados Tecun </w:t>
      </w:r>
      <w:proofErr w:type="spellStart"/>
      <w:r w:rsidRPr="00A27653">
        <w:rPr>
          <w:rFonts w:ascii="Times New Roman" w:eastAsia="Calibri" w:hAnsi="Times New Roman"/>
          <w:color w:val="000000"/>
          <w:szCs w:val="22"/>
          <w:lang w:eastAsia="en-US"/>
        </w:rPr>
        <w:t>Uman</w:t>
      </w:r>
      <w:proofErr w:type="spellEnd"/>
      <w:r w:rsidRPr="00A27653">
        <w:rPr>
          <w:rFonts w:ascii="Times New Roman" w:eastAsia="Calibri" w:hAnsi="Times New Roman"/>
          <w:color w:val="000000"/>
          <w:szCs w:val="22"/>
          <w:lang w:eastAsia="en-US"/>
        </w:rPr>
        <w:t xml:space="preserve"> San Marcos, se usarán tuberías tipo EMT si va expuesto y PVC si esta embebido o subterráneo. Según el diámetro indicado en planos. Sobrepuesta o por cielo según indican planos, tomando en cuenta también en instalaciones expuestas en ducto de instalaciones Eléctricas.</w:t>
      </w:r>
    </w:p>
    <w:p w14:paraId="67068332"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7FE3F6B8"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13.9.2.</w:t>
      </w:r>
      <w:r w:rsidRPr="00A27653">
        <w:rPr>
          <w:rFonts w:ascii="Times New Roman" w:eastAsia="Calibri" w:hAnsi="Times New Roman"/>
          <w:color w:val="000000"/>
          <w:szCs w:val="22"/>
          <w:lang w:eastAsia="en-US"/>
        </w:rPr>
        <w:tab/>
        <w:t>CONDUCTORES ELÉCTRICOS</w:t>
      </w:r>
    </w:p>
    <w:p w14:paraId="677CDDB6"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1 ALAMBRADO DE CIRCUITOS DE BAJO VOLTAJE:</w:t>
      </w:r>
    </w:p>
    <w:p w14:paraId="3C528C79"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 xml:space="preserve">Para el alambrado de circuitos alimentadores y distribución de </w:t>
      </w:r>
      <w:proofErr w:type="spellStart"/>
      <w:r w:rsidRPr="00A27653">
        <w:rPr>
          <w:rFonts w:ascii="Times New Roman" w:eastAsia="Calibri" w:hAnsi="Times New Roman"/>
          <w:color w:val="000000"/>
          <w:szCs w:val="22"/>
          <w:lang w:eastAsia="en-US"/>
        </w:rPr>
        <w:t>sub-alimentadores</w:t>
      </w:r>
      <w:proofErr w:type="spellEnd"/>
      <w:r w:rsidRPr="00A27653">
        <w:rPr>
          <w:rFonts w:ascii="Times New Roman" w:eastAsia="Calibri" w:hAnsi="Times New Roman"/>
          <w:color w:val="000000"/>
          <w:szCs w:val="22"/>
          <w:lang w:eastAsia="en-US"/>
        </w:rPr>
        <w:t xml:space="preserve"> se utilizarán conductores de cobre PHELP DODGE o Similar y calibres indicados en planos.</w:t>
      </w:r>
    </w:p>
    <w:p w14:paraId="45E3D360"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5030E669"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13.10.</w:t>
      </w:r>
      <w:r w:rsidRPr="00A27653">
        <w:rPr>
          <w:rFonts w:ascii="Times New Roman" w:eastAsia="Calibri" w:hAnsi="Times New Roman"/>
          <w:color w:val="000000"/>
          <w:szCs w:val="22"/>
          <w:lang w:eastAsia="en-US"/>
        </w:rPr>
        <w:tab/>
        <w:t>CODIFICACIÓN DEL CABLEADO</w:t>
      </w:r>
    </w:p>
    <w:p w14:paraId="7F04307E"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Los circuitos de Iluminación y Fuerza + derivados, deberán ser del Tipo THHN de Cobre e identificarse en todo su recorrido por medio del color del forro y se recomienda utilizar el siguiente código de colores en la instalación:</w:t>
      </w:r>
    </w:p>
    <w:p w14:paraId="5EC5569F"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5398ED8C"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NEGRO / AZUL.</w:t>
      </w:r>
      <w:r w:rsidRPr="00A27653">
        <w:rPr>
          <w:rFonts w:ascii="Times New Roman" w:eastAsia="Calibri" w:hAnsi="Times New Roman"/>
          <w:color w:val="000000"/>
          <w:szCs w:val="22"/>
          <w:lang w:eastAsia="en-US"/>
        </w:rPr>
        <w:tab/>
      </w:r>
      <w:r w:rsidRPr="00A27653">
        <w:rPr>
          <w:rFonts w:ascii="Times New Roman" w:eastAsia="Calibri" w:hAnsi="Times New Roman"/>
          <w:color w:val="000000"/>
          <w:szCs w:val="22"/>
          <w:lang w:eastAsia="en-US"/>
        </w:rPr>
        <w:tab/>
        <w:t>Conductor VIVO para circuitos de iluminación y tomacorrientes.</w:t>
      </w:r>
    </w:p>
    <w:p w14:paraId="2CDE0142"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AMARILLOS</w:t>
      </w:r>
      <w:r w:rsidRPr="00A27653">
        <w:rPr>
          <w:rFonts w:ascii="Times New Roman" w:eastAsia="Calibri" w:hAnsi="Times New Roman"/>
          <w:color w:val="000000"/>
          <w:szCs w:val="22"/>
          <w:lang w:eastAsia="en-US"/>
        </w:rPr>
        <w:tab/>
      </w:r>
      <w:r w:rsidRPr="00A27653">
        <w:rPr>
          <w:rFonts w:ascii="Times New Roman" w:eastAsia="Calibri" w:hAnsi="Times New Roman"/>
          <w:color w:val="000000"/>
          <w:szCs w:val="22"/>
          <w:lang w:eastAsia="en-US"/>
        </w:rPr>
        <w:tab/>
        <w:t>Conductor RETORNO y PUENTES para circuitos de Iluminación.</w:t>
      </w:r>
    </w:p>
    <w:p w14:paraId="5BE2FBF2"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BLANCO.</w:t>
      </w:r>
      <w:r w:rsidRPr="00A27653">
        <w:rPr>
          <w:rFonts w:ascii="Times New Roman" w:eastAsia="Calibri" w:hAnsi="Times New Roman"/>
          <w:color w:val="000000"/>
          <w:szCs w:val="22"/>
          <w:lang w:eastAsia="en-US"/>
        </w:rPr>
        <w:tab/>
        <w:t>Conductor NEUTRO para todos los circuitos.</w:t>
      </w:r>
    </w:p>
    <w:p w14:paraId="2DE84AE2"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VERDE.</w:t>
      </w:r>
      <w:r w:rsidRPr="00A27653">
        <w:rPr>
          <w:rFonts w:ascii="Times New Roman" w:eastAsia="Calibri" w:hAnsi="Times New Roman"/>
          <w:color w:val="000000"/>
          <w:szCs w:val="22"/>
          <w:lang w:eastAsia="en-US"/>
        </w:rPr>
        <w:tab/>
        <w:t>Conductor PUESTA A TIERRA para todos los circuitos de Tomacorrientes e iluminación.</w:t>
      </w:r>
    </w:p>
    <w:p w14:paraId="438D7D05"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2601F625"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Nota: Para un mismo circuito, no deben mezclarse colores.</w:t>
      </w:r>
    </w:p>
    <w:p w14:paraId="344CAE4D"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Se utilizará vivo, Neutro y Tierra Física por circuito y todos deberán ser tipo cable THHN calibre indicado en planos.</w:t>
      </w:r>
    </w:p>
    <w:p w14:paraId="7CC79709"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0FFA3706"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13.10.1.</w:t>
      </w:r>
      <w:r w:rsidRPr="00A27653">
        <w:rPr>
          <w:rFonts w:ascii="Times New Roman" w:eastAsia="Calibri" w:hAnsi="Times New Roman"/>
          <w:color w:val="000000"/>
          <w:szCs w:val="22"/>
          <w:lang w:eastAsia="en-US"/>
        </w:rPr>
        <w:tab/>
        <w:t>TABLEROS ELÉCTRICOS.</w:t>
      </w:r>
    </w:p>
    <w:p w14:paraId="0D1D934F"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Los tableros eléctricos serán del tipo centro de carga, deberán poseer además barras independientes a las fases, para neutral y Sistema de Tierra Física. Las barras de Neutrales y Polarizados (Tierra) en cada tablero NO deberán estar unidas.</w:t>
      </w:r>
    </w:p>
    <w:p w14:paraId="42A90508"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6932DABF"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13.11.</w:t>
      </w:r>
      <w:r w:rsidRPr="00A27653">
        <w:rPr>
          <w:rFonts w:ascii="Times New Roman" w:eastAsia="Calibri" w:hAnsi="Times New Roman"/>
          <w:color w:val="000000"/>
          <w:szCs w:val="22"/>
          <w:lang w:eastAsia="en-US"/>
        </w:rPr>
        <w:tab/>
        <w:t>DISTRIBUCIÓN DE CIRCUITOS:</w:t>
      </w:r>
    </w:p>
    <w:p w14:paraId="5EFEBF3B"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 xml:space="preserve"> </w:t>
      </w:r>
    </w:p>
    <w:p w14:paraId="6DFB1F36"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55E94038"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Cada circuito irá cableado con las especificaciones dadas en los planos de instalaciones eléctricas de iluminación o fuerza o bien por los datos que aparecen en las hojas de tableros eléctricos, respetando los calibres indicados y el interruptor de protección indicado.</w:t>
      </w:r>
    </w:p>
    <w:p w14:paraId="705189DE"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03230E93"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13.12.</w:t>
      </w:r>
      <w:r w:rsidRPr="00A27653">
        <w:rPr>
          <w:rFonts w:ascii="Times New Roman" w:eastAsia="Calibri" w:hAnsi="Times New Roman"/>
          <w:color w:val="000000"/>
          <w:szCs w:val="22"/>
          <w:lang w:eastAsia="en-US"/>
        </w:rPr>
        <w:tab/>
        <w:t>SUPRESORES DE VOLTAJE</w:t>
      </w:r>
    </w:p>
    <w:p w14:paraId="72F2D9DE"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699D09E4"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Se instalarán en tableros principales y de distribución de acuerdo a la planilla de cada tablero, supresores de voltaje con el fin de proteger los equipos que pueden generar disturbios en la red, tales como motores o equipos eléctricos pesados, y asegurar la continuidad del servicio eléctrico, siendo un apoyo adicional a la red de tierra existente.</w:t>
      </w:r>
    </w:p>
    <w:p w14:paraId="4891647E"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p>
    <w:p w14:paraId="0CC9087F" w14:textId="77777777" w:rsidR="00A27653" w:rsidRPr="00A27653" w:rsidRDefault="00A27653" w:rsidP="00A27653">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14.</w:t>
      </w:r>
      <w:r w:rsidRPr="00A27653">
        <w:rPr>
          <w:rFonts w:ascii="Times New Roman" w:eastAsia="Calibri" w:hAnsi="Times New Roman"/>
          <w:color w:val="000000"/>
          <w:szCs w:val="22"/>
          <w:lang w:eastAsia="en-US"/>
        </w:rPr>
        <w:tab/>
        <w:t>SUPERVISIÓN DE OBRA</w:t>
      </w:r>
    </w:p>
    <w:p w14:paraId="3F594942" w14:textId="6102AB3D" w:rsidR="0044523F" w:rsidRPr="00CC45AE" w:rsidRDefault="00A27653" w:rsidP="00CC45AE">
      <w:pPr>
        <w:autoSpaceDE w:val="0"/>
        <w:autoSpaceDN w:val="0"/>
        <w:adjustRightInd w:val="0"/>
        <w:jc w:val="both"/>
        <w:rPr>
          <w:rFonts w:ascii="Times New Roman" w:eastAsia="Calibri" w:hAnsi="Times New Roman"/>
          <w:color w:val="000000"/>
          <w:szCs w:val="22"/>
          <w:lang w:eastAsia="en-US"/>
        </w:rPr>
      </w:pPr>
      <w:r w:rsidRPr="00A27653">
        <w:rPr>
          <w:rFonts w:ascii="Times New Roman" w:eastAsia="Calibri" w:hAnsi="Times New Roman"/>
          <w:color w:val="000000"/>
          <w:szCs w:val="22"/>
          <w:lang w:eastAsia="en-US"/>
        </w:rPr>
        <w:t xml:space="preserve">La supervisión de obra, se considera la contratación de un profesional arquitecto o ingeniero, colegiado activo, con experiencia comprobada y voluntad del cumplimiento del estudio realizado, para la ejecución del proyecto; quién se hará cargo de llevar una bitácora en donde se considerarán todos los renglones de trabajo y especificaciones del proyecto; si en caso </w:t>
      </w:r>
      <w:proofErr w:type="gramStart"/>
      <w:r w:rsidRPr="00A27653">
        <w:rPr>
          <w:rFonts w:ascii="Times New Roman" w:eastAsia="Calibri" w:hAnsi="Times New Roman"/>
          <w:color w:val="000000"/>
          <w:szCs w:val="22"/>
          <w:lang w:eastAsia="en-US"/>
        </w:rPr>
        <w:t>hubieran</w:t>
      </w:r>
      <w:proofErr w:type="gramEnd"/>
      <w:r w:rsidRPr="00A27653">
        <w:rPr>
          <w:rFonts w:ascii="Times New Roman" w:eastAsia="Calibri" w:hAnsi="Times New Roman"/>
          <w:color w:val="000000"/>
          <w:szCs w:val="22"/>
          <w:lang w:eastAsia="en-US"/>
        </w:rPr>
        <w:t xml:space="preserve"> modificaciones, mejoras o cambios de los sistemas funcionales y constructivos recomendados en este estudio. Se establece que por lo menos deberá realizar dos supervisiones semanales o en su efecto dos días consecutivos de permanencia en la obra a ejecutarse y/o que establezca el contratante</w:t>
      </w:r>
      <w:r w:rsidR="00CC45AE">
        <w:rPr>
          <w:rFonts w:ascii="Times New Roman" w:eastAsia="Calibri" w:hAnsi="Times New Roman"/>
          <w:color w:val="000000"/>
          <w:szCs w:val="22"/>
          <w:lang w:eastAsia="en-US"/>
        </w:rPr>
        <w:t>.</w:t>
      </w:r>
    </w:p>
    <w:p w14:paraId="5F5C4476" w14:textId="7C47DB57" w:rsidR="0044523F" w:rsidRPr="00956690" w:rsidRDefault="0044523F" w:rsidP="0044523F">
      <w:pPr>
        <w:pBdr>
          <w:top w:val="single" w:sz="4" w:space="1" w:color="auto"/>
          <w:left w:val="single" w:sz="4" w:space="4" w:color="auto"/>
          <w:bottom w:val="single" w:sz="4" w:space="1" w:color="auto"/>
          <w:right w:val="single" w:sz="4" w:space="4" w:color="auto"/>
        </w:pBdr>
        <w:spacing w:line="23" w:lineRule="atLeast"/>
        <w:jc w:val="center"/>
        <w:rPr>
          <w:rFonts w:ascii="Times New Roman" w:hAnsi="Times New Roman"/>
          <w:b/>
          <w:bCs/>
          <w:color w:val="000000"/>
          <w:szCs w:val="22"/>
          <w:lang w:val="es-ES_tradnl" w:eastAsia="en-US"/>
        </w:rPr>
      </w:pPr>
      <w:r w:rsidRPr="00956690">
        <w:rPr>
          <w:rFonts w:ascii="Times New Roman" w:hAnsi="Times New Roman"/>
          <w:b/>
          <w:bCs/>
          <w:color w:val="000000"/>
          <w:szCs w:val="22"/>
          <w:lang w:val="es-ES_tradnl" w:eastAsia="en-US"/>
        </w:rPr>
        <w:lastRenderedPageBreak/>
        <w:t>Anexo B</w:t>
      </w:r>
    </w:p>
    <w:p w14:paraId="71BB5AC0" w14:textId="6BB6A4DE" w:rsidR="0044523F" w:rsidRPr="00956690" w:rsidRDefault="00CC4BB2" w:rsidP="0044523F">
      <w:pPr>
        <w:pBdr>
          <w:top w:val="single" w:sz="4" w:space="1" w:color="auto"/>
          <w:left w:val="single" w:sz="4" w:space="4" w:color="auto"/>
          <w:bottom w:val="single" w:sz="4" w:space="1" w:color="auto"/>
          <w:right w:val="single" w:sz="4" w:space="4" w:color="auto"/>
        </w:pBdr>
        <w:spacing w:line="23" w:lineRule="atLeast"/>
        <w:jc w:val="center"/>
        <w:rPr>
          <w:rFonts w:ascii="Times New Roman" w:hAnsi="Times New Roman"/>
          <w:b/>
          <w:bCs/>
          <w:color w:val="000000"/>
          <w:szCs w:val="22"/>
          <w:lang w:val="es-ES_tradnl" w:eastAsia="en-US"/>
        </w:rPr>
      </w:pPr>
      <w:r w:rsidRPr="006A1801">
        <w:rPr>
          <w:rFonts w:ascii="Times New Roman" w:eastAsia="Calibri" w:hAnsi="Times New Roman"/>
          <w:noProof/>
          <w:color w:val="000000"/>
          <w:szCs w:val="22"/>
          <w:lang w:eastAsia="en-US"/>
        </w:rPr>
        <w:drawing>
          <wp:anchor distT="0" distB="0" distL="114300" distR="114300" simplePos="0" relativeHeight="251658240" behindDoc="0" locked="0" layoutInCell="1" allowOverlap="1" wp14:anchorId="48C5BF57" wp14:editId="26902AF7">
            <wp:simplePos x="0" y="0"/>
            <wp:positionH relativeFrom="column">
              <wp:posOffset>-6037</wp:posOffset>
            </wp:positionH>
            <wp:positionV relativeFrom="paragraph">
              <wp:posOffset>344805</wp:posOffset>
            </wp:positionV>
            <wp:extent cx="5970270" cy="7773670"/>
            <wp:effectExtent l="38100" t="38100" r="30480" b="36830"/>
            <wp:wrapSquare wrapText="bothSides"/>
            <wp:docPr id="125625571"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25571" name="Imagen 1" descr="Tabla&#10;&#10;Descripción generada automáticamente"/>
                    <pic:cNvPicPr/>
                  </pic:nvPicPr>
                  <pic:blipFill>
                    <a:blip r:embed="rId10">
                      <a:extLst>
                        <a:ext uri="{28A0092B-C50C-407E-A947-70E740481C1C}">
                          <a14:useLocalDpi xmlns:a14="http://schemas.microsoft.com/office/drawing/2010/main" val="0"/>
                        </a:ext>
                      </a:extLst>
                    </a:blip>
                    <a:stretch>
                      <a:fillRect/>
                    </a:stretch>
                  </pic:blipFill>
                  <pic:spPr>
                    <a:xfrm>
                      <a:off x="0" y="0"/>
                      <a:ext cx="5970270" cy="7773670"/>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r w:rsidR="00DE199D">
        <w:rPr>
          <w:rFonts w:ascii="Times New Roman" w:hAnsi="Times New Roman"/>
          <w:b/>
          <w:bCs/>
          <w:color w:val="000000"/>
          <w:szCs w:val="22"/>
          <w:lang w:val="es-ES_tradnl" w:eastAsia="en-US"/>
        </w:rPr>
        <w:t>Presupuesto</w:t>
      </w:r>
    </w:p>
    <w:p w14:paraId="3B956991" w14:textId="5A0AFD65" w:rsidR="0044523F" w:rsidRPr="00552187" w:rsidRDefault="0044523F" w:rsidP="0044523F">
      <w:pPr>
        <w:autoSpaceDE w:val="0"/>
        <w:autoSpaceDN w:val="0"/>
        <w:adjustRightInd w:val="0"/>
        <w:rPr>
          <w:rFonts w:ascii="Calibri" w:eastAsia="Calibri" w:hAnsi="Calibri" w:cs="Calibri"/>
          <w:b/>
          <w:bCs/>
          <w:color w:val="000000"/>
          <w:sz w:val="20"/>
          <w:lang w:val="es-PA" w:eastAsia="en-US"/>
        </w:rPr>
      </w:pPr>
    </w:p>
    <w:p w14:paraId="05FE5452" w14:textId="285ED182" w:rsidR="0044523F" w:rsidRPr="00576E57" w:rsidRDefault="0044523F" w:rsidP="00576E57">
      <w:pPr>
        <w:autoSpaceDE w:val="0"/>
        <w:autoSpaceDN w:val="0"/>
        <w:adjustRightInd w:val="0"/>
        <w:jc w:val="both"/>
        <w:rPr>
          <w:rFonts w:ascii="Times New Roman" w:eastAsia="Calibri" w:hAnsi="Times New Roman"/>
          <w:color w:val="000000"/>
          <w:szCs w:val="22"/>
          <w:lang w:eastAsia="en-US"/>
        </w:rPr>
      </w:pPr>
      <w:r w:rsidRPr="00576E57">
        <w:rPr>
          <w:rFonts w:ascii="Times New Roman" w:eastAsia="Calibri" w:hAnsi="Times New Roman"/>
          <w:color w:val="000000"/>
          <w:szCs w:val="22"/>
          <w:lang w:eastAsia="en-US"/>
        </w:rPr>
        <w:t xml:space="preserve"> </w:t>
      </w:r>
    </w:p>
    <w:p w14:paraId="23623597" w14:textId="77777777" w:rsidR="0044523F" w:rsidRPr="00576E57" w:rsidRDefault="0044523F" w:rsidP="0044523F">
      <w:pPr>
        <w:pBdr>
          <w:top w:val="single" w:sz="4" w:space="1" w:color="auto"/>
          <w:left w:val="single" w:sz="4" w:space="4" w:color="auto"/>
          <w:bottom w:val="single" w:sz="4" w:space="1" w:color="auto"/>
          <w:right w:val="single" w:sz="4" w:space="4" w:color="auto"/>
        </w:pBdr>
        <w:spacing w:line="23" w:lineRule="atLeast"/>
        <w:jc w:val="center"/>
        <w:rPr>
          <w:rFonts w:ascii="Times New Roman" w:hAnsi="Times New Roman"/>
          <w:b/>
          <w:bCs/>
          <w:color w:val="000000"/>
          <w:szCs w:val="22"/>
          <w:lang w:val="es-ES_tradnl" w:eastAsia="en-US"/>
        </w:rPr>
      </w:pPr>
      <w:r w:rsidRPr="00576E57">
        <w:rPr>
          <w:rFonts w:ascii="Times New Roman" w:hAnsi="Times New Roman"/>
          <w:b/>
          <w:bCs/>
          <w:color w:val="000000"/>
          <w:szCs w:val="22"/>
          <w:lang w:val="es-ES_tradnl" w:eastAsia="en-US"/>
        </w:rPr>
        <w:t>Anexo C</w:t>
      </w:r>
    </w:p>
    <w:p w14:paraId="09AE9E07" w14:textId="77777777" w:rsidR="0044523F" w:rsidRPr="00576E57" w:rsidRDefault="0044523F" w:rsidP="0044523F">
      <w:pPr>
        <w:pBdr>
          <w:top w:val="single" w:sz="4" w:space="1" w:color="auto"/>
          <w:left w:val="single" w:sz="4" w:space="4" w:color="auto"/>
          <w:bottom w:val="single" w:sz="4" w:space="1" w:color="auto"/>
          <w:right w:val="single" w:sz="4" w:space="4" w:color="auto"/>
        </w:pBdr>
        <w:spacing w:line="23" w:lineRule="atLeast"/>
        <w:jc w:val="center"/>
        <w:rPr>
          <w:rFonts w:ascii="Times New Roman" w:hAnsi="Times New Roman"/>
          <w:b/>
          <w:bCs/>
          <w:color w:val="000000"/>
          <w:szCs w:val="22"/>
          <w:lang w:val="es-PA" w:eastAsia="en-US"/>
        </w:rPr>
      </w:pPr>
      <w:r w:rsidRPr="00576E57">
        <w:rPr>
          <w:rFonts w:ascii="Times New Roman" w:hAnsi="Times New Roman"/>
          <w:b/>
          <w:bCs/>
          <w:color w:val="000000"/>
          <w:szCs w:val="22"/>
          <w:lang w:val="es-PA" w:eastAsia="en-US"/>
        </w:rPr>
        <w:t xml:space="preserve">Principios de la OIM de Protección de Datos </w:t>
      </w:r>
    </w:p>
    <w:p w14:paraId="0AF1208D" w14:textId="77777777" w:rsidR="0044523F" w:rsidRPr="00576E57" w:rsidRDefault="0044523F" w:rsidP="0044523F">
      <w:pPr>
        <w:autoSpaceDE w:val="0"/>
        <w:autoSpaceDN w:val="0"/>
        <w:adjustRightInd w:val="0"/>
        <w:rPr>
          <w:rFonts w:ascii="Times New Roman" w:eastAsia="Calibri" w:hAnsi="Times New Roman"/>
          <w:b/>
          <w:bCs/>
          <w:color w:val="000000"/>
          <w:sz w:val="20"/>
          <w:lang w:val="es-PA" w:eastAsia="en-US"/>
        </w:rPr>
      </w:pPr>
    </w:p>
    <w:p w14:paraId="5F7A88ED" w14:textId="77777777" w:rsidR="0044523F" w:rsidRPr="00576E57" w:rsidRDefault="0044523F" w:rsidP="0044523F">
      <w:pPr>
        <w:autoSpaceDE w:val="0"/>
        <w:autoSpaceDN w:val="0"/>
        <w:adjustRightInd w:val="0"/>
        <w:jc w:val="both"/>
        <w:rPr>
          <w:rFonts w:ascii="Times New Roman" w:eastAsia="Calibri" w:hAnsi="Times New Roman"/>
          <w:color w:val="000000"/>
          <w:szCs w:val="22"/>
          <w:lang w:eastAsia="en-US"/>
        </w:rPr>
      </w:pPr>
      <w:r w:rsidRPr="00576E57">
        <w:rPr>
          <w:rFonts w:ascii="Times New Roman" w:eastAsia="Calibri" w:hAnsi="Times New Roman"/>
          <w:b/>
          <w:bCs/>
          <w:color w:val="000000"/>
          <w:szCs w:val="22"/>
          <w:lang w:eastAsia="en-US"/>
        </w:rPr>
        <w:t xml:space="preserve">1. RECOPILACIÓN LÍCITA Y JUSTA </w:t>
      </w:r>
    </w:p>
    <w:p w14:paraId="7AE3E5C7" w14:textId="77777777" w:rsidR="0044523F" w:rsidRPr="00576E57" w:rsidRDefault="0044523F" w:rsidP="0044523F">
      <w:pPr>
        <w:autoSpaceDE w:val="0"/>
        <w:autoSpaceDN w:val="0"/>
        <w:adjustRightInd w:val="0"/>
        <w:jc w:val="both"/>
        <w:rPr>
          <w:rFonts w:ascii="Times New Roman" w:eastAsia="Calibri" w:hAnsi="Times New Roman"/>
          <w:color w:val="000000"/>
          <w:szCs w:val="22"/>
          <w:lang w:eastAsia="en-US"/>
        </w:rPr>
      </w:pPr>
      <w:r w:rsidRPr="00576E57">
        <w:rPr>
          <w:rFonts w:ascii="Times New Roman" w:eastAsia="Calibri" w:hAnsi="Times New Roman"/>
          <w:color w:val="000000"/>
          <w:szCs w:val="22"/>
          <w:lang w:eastAsia="en-US"/>
        </w:rPr>
        <w:t xml:space="preserve">Los datos personales deben obtenerse por medios lícitos y justos con el conocimiento o consentimiento del interesado. </w:t>
      </w:r>
    </w:p>
    <w:p w14:paraId="13F302E6" w14:textId="77777777" w:rsidR="0044523F" w:rsidRPr="00576E57" w:rsidRDefault="0044523F" w:rsidP="0044523F">
      <w:pPr>
        <w:autoSpaceDE w:val="0"/>
        <w:autoSpaceDN w:val="0"/>
        <w:adjustRightInd w:val="0"/>
        <w:jc w:val="both"/>
        <w:rPr>
          <w:rFonts w:ascii="Times New Roman" w:eastAsia="Calibri" w:hAnsi="Times New Roman"/>
          <w:b/>
          <w:bCs/>
          <w:color w:val="000000"/>
          <w:szCs w:val="22"/>
          <w:lang w:eastAsia="en-US"/>
        </w:rPr>
      </w:pPr>
    </w:p>
    <w:p w14:paraId="6CC2F1EA" w14:textId="77777777" w:rsidR="0044523F" w:rsidRPr="00576E57" w:rsidRDefault="0044523F" w:rsidP="0044523F">
      <w:pPr>
        <w:autoSpaceDE w:val="0"/>
        <w:autoSpaceDN w:val="0"/>
        <w:adjustRightInd w:val="0"/>
        <w:jc w:val="both"/>
        <w:rPr>
          <w:rFonts w:ascii="Times New Roman" w:eastAsia="Calibri" w:hAnsi="Times New Roman"/>
          <w:color w:val="000000"/>
          <w:szCs w:val="22"/>
          <w:lang w:eastAsia="en-US"/>
        </w:rPr>
      </w:pPr>
      <w:r w:rsidRPr="00576E57">
        <w:rPr>
          <w:rFonts w:ascii="Times New Roman" w:eastAsia="Calibri" w:hAnsi="Times New Roman"/>
          <w:b/>
          <w:bCs/>
          <w:color w:val="000000"/>
          <w:szCs w:val="22"/>
          <w:lang w:eastAsia="en-US"/>
        </w:rPr>
        <w:t xml:space="preserve">2. PROPÓSITO ESPECÍFICO Y LEGÍTIMO </w:t>
      </w:r>
    </w:p>
    <w:p w14:paraId="0DC79F56" w14:textId="77777777" w:rsidR="0044523F" w:rsidRPr="00576E57" w:rsidRDefault="0044523F" w:rsidP="0044523F">
      <w:pPr>
        <w:autoSpaceDE w:val="0"/>
        <w:autoSpaceDN w:val="0"/>
        <w:adjustRightInd w:val="0"/>
        <w:jc w:val="both"/>
        <w:rPr>
          <w:rFonts w:ascii="Times New Roman" w:eastAsia="Calibri" w:hAnsi="Times New Roman"/>
          <w:color w:val="000000"/>
          <w:szCs w:val="22"/>
          <w:lang w:eastAsia="en-US"/>
        </w:rPr>
      </w:pPr>
      <w:r w:rsidRPr="00576E57">
        <w:rPr>
          <w:rFonts w:ascii="Times New Roman" w:eastAsia="Calibri" w:hAnsi="Times New Roman"/>
          <w:color w:val="000000"/>
          <w:szCs w:val="22"/>
          <w:lang w:eastAsia="en-US"/>
        </w:rPr>
        <w:t xml:space="preserve">Cabe especificar y legitimar el o los propósitos para la recopilación y procesamiento de datos personales, que además deberán ser de conocimiento del interesado en el momento de la recopilación. Los datos personales sólo han de servir para los fines especificados, a menos que el interesado consienta a otra utilización o si ésta fuese compatible con los propósitos especificados originalmente. </w:t>
      </w:r>
    </w:p>
    <w:p w14:paraId="3E386D80" w14:textId="77777777" w:rsidR="0044523F" w:rsidRPr="00576E57" w:rsidRDefault="0044523F" w:rsidP="0044523F">
      <w:pPr>
        <w:autoSpaceDE w:val="0"/>
        <w:autoSpaceDN w:val="0"/>
        <w:adjustRightInd w:val="0"/>
        <w:jc w:val="both"/>
        <w:rPr>
          <w:rFonts w:ascii="Times New Roman" w:eastAsia="Calibri" w:hAnsi="Times New Roman"/>
          <w:b/>
          <w:bCs/>
          <w:color w:val="000000"/>
          <w:szCs w:val="22"/>
          <w:lang w:eastAsia="en-US"/>
        </w:rPr>
      </w:pPr>
    </w:p>
    <w:p w14:paraId="15CD9760" w14:textId="77777777" w:rsidR="0044523F" w:rsidRPr="00576E57" w:rsidRDefault="0044523F" w:rsidP="0044523F">
      <w:pPr>
        <w:autoSpaceDE w:val="0"/>
        <w:autoSpaceDN w:val="0"/>
        <w:adjustRightInd w:val="0"/>
        <w:jc w:val="both"/>
        <w:rPr>
          <w:rFonts w:ascii="Times New Roman" w:eastAsia="Calibri" w:hAnsi="Times New Roman"/>
          <w:color w:val="000000"/>
          <w:szCs w:val="22"/>
          <w:lang w:eastAsia="en-US"/>
        </w:rPr>
      </w:pPr>
      <w:r w:rsidRPr="00576E57">
        <w:rPr>
          <w:rFonts w:ascii="Times New Roman" w:eastAsia="Calibri" w:hAnsi="Times New Roman"/>
          <w:b/>
          <w:bCs/>
          <w:color w:val="000000"/>
          <w:szCs w:val="22"/>
          <w:lang w:eastAsia="en-US"/>
        </w:rPr>
        <w:t xml:space="preserve">3. CALIDAD DE LOS DATOS </w:t>
      </w:r>
    </w:p>
    <w:p w14:paraId="0B35097B" w14:textId="77777777" w:rsidR="0044523F" w:rsidRPr="00576E57" w:rsidRDefault="0044523F" w:rsidP="0044523F">
      <w:pPr>
        <w:autoSpaceDE w:val="0"/>
        <w:autoSpaceDN w:val="0"/>
        <w:adjustRightInd w:val="0"/>
        <w:jc w:val="both"/>
        <w:rPr>
          <w:rFonts w:ascii="Times New Roman" w:eastAsia="Calibri" w:hAnsi="Times New Roman"/>
          <w:color w:val="000000"/>
          <w:szCs w:val="22"/>
          <w:lang w:eastAsia="en-US"/>
        </w:rPr>
      </w:pPr>
      <w:r w:rsidRPr="00576E57">
        <w:rPr>
          <w:rFonts w:ascii="Times New Roman" w:eastAsia="Calibri" w:hAnsi="Times New Roman"/>
          <w:color w:val="000000"/>
          <w:szCs w:val="22"/>
          <w:lang w:eastAsia="en-US"/>
        </w:rPr>
        <w:t xml:space="preserve">Los datos personales solicitados y obtenidos deberán ser adecuados, pertinentes y no excederán los propósitos específicos de la recopilación y procesamiento de datos. Los encargados del procesamiento de datos deberán tomar todas las medidas razonables para cerciorarse de que los datos personales son exactos y actualizados. </w:t>
      </w:r>
    </w:p>
    <w:p w14:paraId="0CB971BA" w14:textId="77777777" w:rsidR="0044523F" w:rsidRPr="00576E57" w:rsidRDefault="0044523F" w:rsidP="0044523F">
      <w:pPr>
        <w:autoSpaceDE w:val="0"/>
        <w:autoSpaceDN w:val="0"/>
        <w:adjustRightInd w:val="0"/>
        <w:jc w:val="both"/>
        <w:rPr>
          <w:rFonts w:ascii="Times New Roman" w:eastAsia="Calibri" w:hAnsi="Times New Roman"/>
          <w:b/>
          <w:bCs/>
          <w:color w:val="000000"/>
          <w:szCs w:val="22"/>
          <w:lang w:eastAsia="en-US"/>
        </w:rPr>
      </w:pPr>
    </w:p>
    <w:p w14:paraId="414CAF55" w14:textId="77777777" w:rsidR="0044523F" w:rsidRPr="00576E57" w:rsidRDefault="0044523F" w:rsidP="0044523F">
      <w:pPr>
        <w:autoSpaceDE w:val="0"/>
        <w:autoSpaceDN w:val="0"/>
        <w:adjustRightInd w:val="0"/>
        <w:jc w:val="both"/>
        <w:rPr>
          <w:rFonts w:ascii="Times New Roman" w:eastAsia="Calibri" w:hAnsi="Times New Roman"/>
          <w:color w:val="000000"/>
          <w:szCs w:val="22"/>
          <w:lang w:eastAsia="en-US"/>
        </w:rPr>
      </w:pPr>
      <w:r w:rsidRPr="00576E57">
        <w:rPr>
          <w:rFonts w:ascii="Times New Roman" w:eastAsia="Calibri" w:hAnsi="Times New Roman"/>
          <w:b/>
          <w:color w:val="000000" w:themeColor="text1"/>
          <w:lang w:eastAsia="en-US"/>
        </w:rPr>
        <w:t xml:space="preserve">4. CONSENTIMIENTO </w:t>
      </w:r>
    </w:p>
    <w:p w14:paraId="35EF23A6" w14:textId="77777777" w:rsidR="0044523F" w:rsidRPr="00576E57" w:rsidRDefault="0044523F" w:rsidP="0044523F">
      <w:pPr>
        <w:autoSpaceDE w:val="0"/>
        <w:autoSpaceDN w:val="0"/>
        <w:adjustRightInd w:val="0"/>
        <w:jc w:val="both"/>
        <w:rPr>
          <w:rFonts w:ascii="Times New Roman" w:eastAsia="Calibri" w:hAnsi="Times New Roman"/>
          <w:color w:val="000000"/>
          <w:szCs w:val="22"/>
          <w:lang w:eastAsia="en-US"/>
        </w:rPr>
      </w:pPr>
      <w:r w:rsidRPr="00576E57">
        <w:rPr>
          <w:rFonts w:ascii="Times New Roman" w:eastAsia="Calibri" w:hAnsi="Times New Roman"/>
          <w:color w:val="000000" w:themeColor="text1"/>
          <w:lang w:eastAsia="en-US"/>
        </w:rPr>
        <w:t xml:space="preserve">Cabe obtener el consentimiento en el momento de la recopilación de datos, o en cuanto sea razonablemente posible, teniendo debidamente en cuenta la condición y capacidad jurídica de ciertos grupos y personas vulnerables. Si hubiere circunstancias excepcionales que impidieran la obtención del consentimiento, el encargado del procesamiento de datos deberá, por lo menos, cerciorarse de que el interesado sabe lo suficiente para comprender y apreciar los propósitos específicos para los cuales se está recopilando y procesando datos personales. </w:t>
      </w:r>
    </w:p>
    <w:p w14:paraId="323773FE" w14:textId="77777777" w:rsidR="0044523F" w:rsidRPr="00576E57" w:rsidRDefault="0044523F" w:rsidP="0044523F">
      <w:pPr>
        <w:autoSpaceDE w:val="0"/>
        <w:autoSpaceDN w:val="0"/>
        <w:adjustRightInd w:val="0"/>
        <w:jc w:val="both"/>
        <w:rPr>
          <w:rFonts w:ascii="Times New Roman" w:eastAsia="Calibri" w:hAnsi="Times New Roman"/>
          <w:b/>
          <w:bCs/>
          <w:color w:val="000000"/>
          <w:szCs w:val="22"/>
          <w:lang w:eastAsia="en-US"/>
        </w:rPr>
      </w:pPr>
    </w:p>
    <w:p w14:paraId="1469A534" w14:textId="77777777" w:rsidR="0044523F" w:rsidRPr="00576E57" w:rsidRDefault="0044523F" w:rsidP="0044523F">
      <w:pPr>
        <w:autoSpaceDE w:val="0"/>
        <w:autoSpaceDN w:val="0"/>
        <w:adjustRightInd w:val="0"/>
        <w:jc w:val="both"/>
        <w:rPr>
          <w:rFonts w:ascii="Times New Roman" w:eastAsia="Calibri" w:hAnsi="Times New Roman"/>
          <w:color w:val="000000"/>
          <w:szCs w:val="22"/>
          <w:lang w:eastAsia="en-US"/>
        </w:rPr>
      </w:pPr>
      <w:r w:rsidRPr="00576E57">
        <w:rPr>
          <w:rFonts w:ascii="Times New Roman" w:eastAsia="Calibri" w:hAnsi="Times New Roman"/>
          <w:b/>
          <w:bCs/>
          <w:color w:val="000000"/>
          <w:szCs w:val="22"/>
          <w:lang w:eastAsia="en-US"/>
        </w:rPr>
        <w:t xml:space="preserve">5. TRANSFERENCIA A TERCEROS </w:t>
      </w:r>
    </w:p>
    <w:p w14:paraId="33F36BC5" w14:textId="77777777" w:rsidR="0044523F" w:rsidRPr="00576E57" w:rsidRDefault="0044523F" w:rsidP="0044523F">
      <w:pPr>
        <w:autoSpaceDE w:val="0"/>
        <w:autoSpaceDN w:val="0"/>
        <w:adjustRightInd w:val="0"/>
        <w:jc w:val="both"/>
        <w:rPr>
          <w:rFonts w:ascii="Times New Roman" w:eastAsia="Calibri" w:hAnsi="Times New Roman"/>
          <w:color w:val="000000"/>
          <w:szCs w:val="22"/>
          <w:lang w:eastAsia="en-US"/>
        </w:rPr>
      </w:pPr>
      <w:r w:rsidRPr="00576E57">
        <w:rPr>
          <w:rFonts w:ascii="Times New Roman" w:eastAsia="Calibri" w:hAnsi="Times New Roman"/>
          <w:color w:val="000000"/>
          <w:szCs w:val="22"/>
          <w:lang w:eastAsia="en-US"/>
        </w:rPr>
        <w:t xml:space="preserve">Los datos personales sólo podrán transferirse a terceros con el consentimiento explícito del interesado, para un propósito especificado y con la garantía de que se adoptarán las salvaguardias adecuadas para proteger la confidencialidad de los datos personales y para asegurar que se respeten los derechos e intereses del interesado. Por consiguiente, estos tres requisitos de transferencia deberán garantizarse por escrito. </w:t>
      </w:r>
    </w:p>
    <w:p w14:paraId="1C7A4108" w14:textId="77777777" w:rsidR="0044523F" w:rsidRPr="00576E57" w:rsidRDefault="0044523F" w:rsidP="0044523F">
      <w:pPr>
        <w:autoSpaceDE w:val="0"/>
        <w:autoSpaceDN w:val="0"/>
        <w:adjustRightInd w:val="0"/>
        <w:jc w:val="both"/>
        <w:rPr>
          <w:rFonts w:ascii="Times New Roman" w:eastAsia="Calibri" w:hAnsi="Times New Roman"/>
          <w:b/>
          <w:bCs/>
          <w:color w:val="000000"/>
          <w:szCs w:val="22"/>
          <w:lang w:eastAsia="en-US"/>
        </w:rPr>
      </w:pPr>
    </w:p>
    <w:p w14:paraId="191D88EE" w14:textId="77777777" w:rsidR="0044523F" w:rsidRPr="00576E57" w:rsidRDefault="0044523F" w:rsidP="0044523F">
      <w:pPr>
        <w:autoSpaceDE w:val="0"/>
        <w:autoSpaceDN w:val="0"/>
        <w:adjustRightInd w:val="0"/>
        <w:jc w:val="both"/>
        <w:rPr>
          <w:rFonts w:ascii="Times New Roman" w:eastAsia="Calibri" w:hAnsi="Times New Roman"/>
          <w:color w:val="000000"/>
          <w:szCs w:val="22"/>
          <w:lang w:eastAsia="en-US"/>
        </w:rPr>
      </w:pPr>
      <w:r w:rsidRPr="00576E57">
        <w:rPr>
          <w:rFonts w:ascii="Times New Roman" w:eastAsia="Calibri" w:hAnsi="Times New Roman"/>
          <w:b/>
          <w:bCs/>
          <w:color w:val="000000"/>
          <w:szCs w:val="22"/>
          <w:lang w:eastAsia="en-US"/>
        </w:rPr>
        <w:t xml:space="preserve">6. CONFIDENCIALIDAD </w:t>
      </w:r>
    </w:p>
    <w:p w14:paraId="1D1ACEB5" w14:textId="77777777" w:rsidR="0044523F" w:rsidRPr="00576E57" w:rsidRDefault="0044523F" w:rsidP="0044523F">
      <w:pPr>
        <w:autoSpaceDE w:val="0"/>
        <w:autoSpaceDN w:val="0"/>
        <w:adjustRightInd w:val="0"/>
        <w:jc w:val="both"/>
        <w:rPr>
          <w:rFonts w:ascii="Times New Roman" w:eastAsia="Calibri" w:hAnsi="Times New Roman"/>
          <w:color w:val="000000"/>
          <w:szCs w:val="22"/>
          <w:lang w:eastAsia="en-US"/>
        </w:rPr>
      </w:pPr>
      <w:r w:rsidRPr="00576E57">
        <w:rPr>
          <w:rFonts w:ascii="Times New Roman" w:eastAsia="Calibri" w:hAnsi="Times New Roman"/>
          <w:color w:val="000000"/>
          <w:szCs w:val="22"/>
          <w:lang w:eastAsia="en-US"/>
        </w:rPr>
        <w:t xml:space="preserve">Cabe respetar la confidencialidad de los datos personales, que además deberá aplicarse en todas las etapas de recopilación y procesamiento de datos y garantizarse por escrito. Todos los miembros del personal de la OIM, así como los representantes de terceros que estén autorizados a acceder y procesar datos personales, estarán sujetos a la confidencialidad. </w:t>
      </w:r>
    </w:p>
    <w:p w14:paraId="2878AABB" w14:textId="77777777" w:rsidR="0044523F" w:rsidRPr="00576E57" w:rsidRDefault="0044523F" w:rsidP="0044523F">
      <w:pPr>
        <w:autoSpaceDE w:val="0"/>
        <w:autoSpaceDN w:val="0"/>
        <w:adjustRightInd w:val="0"/>
        <w:jc w:val="both"/>
        <w:rPr>
          <w:rFonts w:ascii="Times New Roman" w:eastAsia="Calibri" w:hAnsi="Times New Roman"/>
          <w:color w:val="000000"/>
          <w:szCs w:val="22"/>
          <w:lang w:eastAsia="en-US"/>
        </w:rPr>
      </w:pPr>
    </w:p>
    <w:p w14:paraId="383A8B85" w14:textId="77777777" w:rsidR="0044523F" w:rsidRPr="00576E57" w:rsidRDefault="0044523F" w:rsidP="0044523F">
      <w:pPr>
        <w:pStyle w:val="Prrafodelista"/>
        <w:numPr>
          <w:ilvl w:val="0"/>
          <w:numId w:val="13"/>
        </w:numPr>
        <w:autoSpaceDE w:val="0"/>
        <w:autoSpaceDN w:val="0"/>
        <w:adjustRightInd w:val="0"/>
        <w:ind w:left="284" w:hanging="284"/>
        <w:jc w:val="both"/>
        <w:rPr>
          <w:rFonts w:ascii="Times New Roman" w:hAnsi="Times New Roman"/>
          <w:b/>
          <w:bCs/>
          <w:lang w:eastAsia="en-US"/>
        </w:rPr>
      </w:pPr>
      <w:r w:rsidRPr="00576E57">
        <w:rPr>
          <w:rFonts w:ascii="Times New Roman" w:hAnsi="Times New Roman"/>
          <w:b/>
          <w:bCs/>
          <w:lang w:eastAsia="en-US"/>
        </w:rPr>
        <w:t>ACCESO Y TRANSPARENCIA</w:t>
      </w:r>
    </w:p>
    <w:p w14:paraId="39074103" w14:textId="77777777" w:rsidR="0044523F" w:rsidRPr="00576E57" w:rsidRDefault="0044523F" w:rsidP="0044523F">
      <w:pPr>
        <w:autoSpaceDE w:val="0"/>
        <w:autoSpaceDN w:val="0"/>
        <w:adjustRightInd w:val="0"/>
        <w:jc w:val="both"/>
        <w:rPr>
          <w:rFonts w:ascii="Times New Roman" w:eastAsia="Calibri" w:hAnsi="Times New Roman"/>
          <w:b/>
          <w:bCs/>
          <w:lang w:eastAsia="en-US"/>
        </w:rPr>
      </w:pPr>
      <w:r w:rsidRPr="00576E57">
        <w:rPr>
          <w:rFonts w:ascii="Times New Roman" w:eastAsia="Calibri" w:hAnsi="Times New Roman"/>
          <w:color w:val="000000"/>
          <w:szCs w:val="22"/>
          <w:lang w:eastAsia="en-US"/>
        </w:rPr>
        <w:t>Habrá que conferir a los interesados la posibilidad de verificar sus datos personales y de acceder a los mismos, siempre que ello no constituya un impedimento para el propósito especificado de recopilación y procesamiento de los datos personales. En todo momento los encargados del procesamiento de datos deberán ser claros con el interesado en cuanto a los acontecimientos, prácticas y políticas referentes a los datos personales.</w:t>
      </w:r>
    </w:p>
    <w:p w14:paraId="6655E5CE" w14:textId="77777777" w:rsidR="0044523F" w:rsidRPr="00576E57" w:rsidRDefault="0044523F" w:rsidP="0044523F">
      <w:pPr>
        <w:autoSpaceDE w:val="0"/>
        <w:autoSpaceDN w:val="0"/>
        <w:adjustRightInd w:val="0"/>
        <w:jc w:val="both"/>
        <w:rPr>
          <w:rFonts w:ascii="Times New Roman" w:eastAsia="Calibri" w:hAnsi="Times New Roman"/>
          <w:b/>
          <w:bCs/>
          <w:color w:val="000000"/>
          <w:szCs w:val="22"/>
          <w:lang w:eastAsia="en-US"/>
        </w:rPr>
      </w:pPr>
    </w:p>
    <w:p w14:paraId="085E0840" w14:textId="77777777" w:rsidR="0044523F" w:rsidRPr="00576E57" w:rsidRDefault="0044523F" w:rsidP="0044523F">
      <w:pPr>
        <w:autoSpaceDE w:val="0"/>
        <w:autoSpaceDN w:val="0"/>
        <w:adjustRightInd w:val="0"/>
        <w:jc w:val="both"/>
        <w:rPr>
          <w:rFonts w:ascii="Times New Roman" w:eastAsia="Calibri" w:hAnsi="Times New Roman"/>
          <w:color w:val="000000"/>
          <w:szCs w:val="22"/>
          <w:lang w:eastAsia="en-US"/>
        </w:rPr>
      </w:pPr>
      <w:r w:rsidRPr="00576E57">
        <w:rPr>
          <w:rFonts w:ascii="Times New Roman" w:eastAsia="Calibri" w:hAnsi="Times New Roman"/>
          <w:b/>
          <w:bCs/>
          <w:color w:val="000000"/>
          <w:szCs w:val="22"/>
          <w:lang w:eastAsia="en-US"/>
        </w:rPr>
        <w:t xml:space="preserve">8. SEGURIDAD DE LOS DATOS </w:t>
      </w:r>
    </w:p>
    <w:p w14:paraId="1A6F2EC2" w14:textId="77777777" w:rsidR="0044523F" w:rsidRPr="00576E57" w:rsidRDefault="0044523F" w:rsidP="0044523F">
      <w:pPr>
        <w:autoSpaceDE w:val="0"/>
        <w:autoSpaceDN w:val="0"/>
        <w:adjustRightInd w:val="0"/>
        <w:jc w:val="both"/>
        <w:rPr>
          <w:rFonts w:ascii="Times New Roman" w:eastAsia="Calibri" w:hAnsi="Times New Roman"/>
          <w:color w:val="000000"/>
          <w:szCs w:val="22"/>
          <w:lang w:eastAsia="en-US"/>
        </w:rPr>
      </w:pPr>
      <w:r w:rsidRPr="00576E57">
        <w:rPr>
          <w:rFonts w:ascii="Times New Roman" w:eastAsia="Calibri" w:hAnsi="Times New Roman"/>
          <w:color w:val="000000"/>
          <w:szCs w:val="22"/>
          <w:lang w:eastAsia="en-US"/>
        </w:rPr>
        <w:t xml:space="preserve">Los datos personales se mantendrán bajo seguridad, tanto desde el punto de vista técnico como administrativo. Asimismo, deberán protegerse mediante medidas razonables y apropiadas de cualquier modificación no autorizada, manipulación, destrucción ilícita, pérdida accidental, divulgación indebida o </w:t>
      </w:r>
      <w:r w:rsidRPr="00576E57">
        <w:rPr>
          <w:rFonts w:ascii="Times New Roman" w:eastAsia="Calibri" w:hAnsi="Times New Roman"/>
          <w:color w:val="000000"/>
          <w:szCs w:val="22"/>
          <w:lang w:eastAsia="en-US"/>
        </w:rPr>
        <w:lastRenderedPageBreak/>
        <w:t xml:space="preserve">transferencia inadecuada. Las medidas de protección consignadas en las políticas y directrices pertinentes de la OIM se aplicarán a la recopilación y procesamiento de datos personales. </w:t>
      </w:r>
    </w:p>
    <w:p w14:paraId="36618219" w14:textId="77777777" w:rsidR="0044523F" w:rsidRPr="00576E57" w:rsidRDefault="0044523F" w:rsidP="0044523F">
      <w:pPr>
        <w:autoSpaceDE w:val="0"/>
        <w:autoSpaceDN w:val="0"/>
        <w:adjustRightInd w:val="0"/>
        <w:jc w:val="both"/>
        <w:rPr>
          <w:rFonts w:ascii="Times New Roman" w:eastAsia="Calibri" w:hAnsi="Times New Roman"/>
          <w:b/>
          <w:bCs/>
          <w:color w:val="000000"/>
          <w:szCs w:val="22"/>
          <w:lang w:eastAsia="en-US"/>
        </w:rPr>
      </w:pPr>
    </w:p>
    <w:p w14:paraId="55C8C6B5" w14:textId="77777777" w:rsidR="0044523F" w:rsidRPr="00576E57" w:rsidRDefault="0044523F" w:rsidP="0044523F">
      <w:pPr>
        <w:autoSpaceDE w:val="0"/>
        <w:autoSpaceDN w:val="0"/>
        <w:adjustRightInd w:val="0"/>
        <w:jc w:val="both"/>
        <w:rPr>
          <w:rFonts w:ascii="Times New Roman" w:eastAsia="Calibri" w:hAnsi="Times New Roman"/>
          <w:color w:val="000000"/>
          <w:szCs w:val="22"/>
          <w:lang w:eastAsia="en-US"/>
        </w:rPr>
      </w:pPr>
      <w:r w:rsidRPr="00576E57">
        <w:rPr>
          <w:rFonts w:ascii="Times New Roman" w:eastAsia="Calibri" w:hAnsi="Times New Roman"/>
          <w:b/>
          <w:bCs/>
          <w:color w:val="000000"/>
          <w:szCs w:val="22"/>
          <w:lang w:eastAsia="en-US"/>
        </w:rPr>
        <w:t xml:space="preserve">9. LA CONSERVACIÓN DE DATOS DE CARÁCTER PERSONAL </w:t>
      </w:r>
    </w:p>
    <w:p w14:paraId="127BEE7D" w14:textId="77777777" w:rsidR="0044523F" w:rsidRPr="00576E57" w:rsidRDefault="0044523F" w:rsidP="0044523F">
      <w:pPr>
        <w:autoSpaceDE w:val="0"/>
        <w:autoSpaceDN w:val="0"/>
        <w:adjustRightInd w:val="0"/>
        <w:jc w:val="both"/>
        <w:rPr>
          <w:rFonts w:ascii="Times New Roman" w:eastAsia="Calibri" w:hAnsi="Times New Roman"/>
          <w:color w:val="000000"/>
          <w:szCs w:val="22"/>
          <w:lang w:eastAsia="en-US"/>
        </w:rPr>
      </w:pPr>
      <w:r w:rsidRPr="00576E57">
        <w:rPr>
          <w:rFonts w:ascii="Times New Roman" w:eastAsia="Calibri" w:hAnsi="Times New Roman"/>
          <w:color w:val="000000"/>
          <w:szCs w:val="22"/>
          <w:lang w:eastAsia="en-US"/>
        </w:rPr>
        <w:t xml:space="preserve">Los datos personales se conservarán mientras sea necesario, y serán destruidos o transformados en datos anónimos en cuanto se haya alcanzado el propósito especificado de recopilación y procesamiento de datos. Ahora bien, podrán conservarse por un periodo adicional determinado, si así se solicita para beneficio del interesado. </w:t>
      </w:r>
    </w:p>
    <w:p w14:paraId="3778F7FE" w14:textId="77777777" w:rsidR="0044523F" w:rsidRPr="00576E57" w:rsidRDefault="0044523F" w:rsidP="0044523F">
      <w:pPr>
        <w:autoSpaceDE w:val="0"/>
        <w:autoSpaceDN w:val="0"/>
        <w:adjustRightInd w:val="0"/>
        <w:jc w:val="both"/>
        <w:rPr>
          <w:rFonts w:ascii="Times New Roman" w:eastAsia="Calibri" w:hAnsi="Times New Roman"/>
          <w:b/>
          <w:bCs/>
          <w:color w:val="000000"/>
          <w:szCs w:val="22"/>
          <w:lang w:eastAsia="en-US"/>
        </w:rPr>
      </w:pPr>
    </w:p>
    <w:p w14:paraId="36CEA929" w14:textId="77777777" w:rsidR="0044523F" w:rsidRPr="00576E57" w:rsidRDefault="0044523F" w:rsidP="0044523F">
      <w:pPr>
        <w:autoSpaceDE w:val="0"/>
        <w:autoSpaceDN w:val="0"/>
        <w:adjustRightInd w:val="0"/>
        <w:jc w:val="both"/>
        <w:rPr>
          <w:rFonts w:ascii="Times New Roman" w:eastAsia="Calibri" w:hAnsi="Times New Roman"/>
          <w:color w:val="000000"/>
          <w:szCs w:val="22"/>
          <w:lang w:eastAsia="en-US"/>
        </w:rPr>
      </w:pPr>
      <w:r w:rsidRPr="00576E57">
        <w:rPr>
          <w:rFonts w:ascii="Times New Roman" w:eastAsia="Calibri" w:hAnsi="Times New Roman"/>
          <w:b/>
          <w:bCs/>
          <w:color w:val="000000"/>
          <w:szCs w:val="22"/>
          <w:lang w:eastAsia="en-US"/>
        </w:rPr>
        <w:t xml:space="preserve">10. APLICACIÓN DE LOS PRINCIPIOS </w:t>
      </w:r>
    </w:p>
    <w:p w14:paraId="313C543A" w14:textId="77777777" w:rsidR="0044523F" w:rsidRPr="00576E57" w:rsidRDefault="0044523F" w:rsidP="0044523F">
      <w:pPr>
        <w:autoSpaceDE w:val="0"/>
        <w:autoSpaceDN w:val="0"/>
        <w:adjustRightInd w:val="0"/>
        <w:jc w:val="both"/>
        <w:rPr>
          <w:rFonts w:ascii="Times New Roman" w:eastAsia="Calibri" w:hAnsi="Times New Roman"/>
          <w:color w:val="000000"/>
          <w:szCs w:val="22"/>
          <w:lang w:eastAsia="en-US"/>
        </w:rPr>
      </w:pPr>
      <w:r w:rsidRPr="00576E57">
        <w:rPr>
          <w:rFonts w:ascii="Times New Roman" w:eastAsia="Calibri" w:hAnsi="Times New Roman"/>
          <w:color w:val="000000"/>
          <w:szCs w:val="22"/>
          <w:lang w:eastAsia="en-US"/>
        </w:rPr>
        <w:t xml:space="preserve">Estos principios se aplicarán a los registros de datos personales tanto electrónicos como en papel, y se complementarán por medidas adicionales de protección, dependiendo, entre otros, de la confidencialidad de los datos personales. Estos principios no se aplicarán a datos que no sean de carácter personal. </w:t>
      </w:r>
    </w:p>
    <w:p w14:paraId="7277EFBD" w14:textId="77777777" w:rsidR="0044523F" w:rsidRPr="00576E57" w:rsidRDefault="0044523F" w:rsidP="0044523F">
      <w:pPr>
        <w:autoSpaceDE w:val="0"/>
        <w:autoSpaceDN w:val="0"/>
        <w:adjustRightInd w:val="0"/>
        <w:jc w:val="both"/>
        <w:rPr>
          <w:rFonts w:ascii="Times New Roman" w:eastAsia="Calibri" w:hAnsi="Times New Roman"/>
          <w:b/>
          <w:bCs/>
          <w:color w:val="000000"/>
          <w:szCs w:val="22"/>
          <w:lang w:eastAsia="en-US"/>
        </w:rPr>
      </w:pPr>
    </w:p>
    <w:p w14:paraId="7E35081D" w14:textId="77777777" w:rsidR="0044523F" w:rsidRPr="00576E57" w:rsidRDefault="0044523F" w:rsidP="0044523F">
      <w:pPr>
        <w:autoSpaceDE w:val="0"/>
        <w:autoSpaceDN w:val="0"/>
        <w:adjustRightInd w:val="0"/>
        <w:jc w:val="both"/>
        <w:rPr>
          <w:rFonts w:ascii="Times New Roman" w:eastAsia="Calibri" w:hAnsi="Times New Roman"/>
          <w:color w:val="000000"/>
          <w:szCs w:val="22"/>
          <w:lang w:eastAsia="en-US"/>
        </w:rPr>
      </w:pPr>
      <w:r w:rsidRPr="00576E57">
        <w:rPr>
          <w:rFonts w:ascii="Times New Roman" w:eastAsia="Calibri" w:hAnsi="Times New Roman"/>
          <w:b/>
          <w:bCs/>
          <w:color w:val="000000"/>
          <w:szCs w:val="22"/>
          <w:lang w:eastAsia="en-US"/>
        </w:rPr>
        <w:t xml:space="preserve">11. TITULARIDAD DE LOS DATOS PERSONALES </w:t>
      </w:r>
    </w:p>
    <w:p w14:paraId="53853473" w14:textId="77777777" w:rsidR="0044523F" w:rsidRPr="00576E57" w:rsidRDefault="0044523F" w:rsidP="0044523F">
      <w:pPr>
        <w:autoSpaceDE w:val="0"/>
        <w:autoSpaceDN w:val="0"/>
        <w:adjustRightInd w:val="0"/>
        <w:jc w:val="both"/>
        <w:rPr>
          <w:rFonts w:ascii="Times New Roman" w:eastAsia="Calibri" w:hAnsi="Times New Roman"/>
          <w:color w:val="000000"/>
          <w:szCs w:val="22"/>
          <w:lang w:eastAsia="en-US"/>
        </w:rPr>
      </w:pPr>
      <w:r w:rsidRPr="00576E57">
        <w:rPr>
          <w:rFonts w:ascii="Times New Roman" w:eastAsia="Calibri" w:hAnsi="Times New Roman"/>
          <w:color w:val="000000"/>
          <w:szCs w:val="22"/>
          <w:lang w:eastAsia="en-US"/>
        </w:rPr>
        <w:t xml:space="preserve">La OIM asumirá la titularidad de los datos personales recopilados directamente de los interesados o recopilados en nombre de la OIM, a menos que se acuerde lo contrario, por escrito, con terceros. </w:t>
      </w:r>
    </w:p>
    <w:p w14:paraId="3839F99E" w14:textId="77777777" w:rsidR="0044523F" w:rsidRPr="00576E57" w:rsidRDefault="0044523F" w:rsidP="0044523F">
      <w:pPr>
        <w:autoSpaceDE w:val="0"/>
        <w:autoSpaceDN w:val="0"/>
        <w:adjustRightInd w:val="0"/>
        <w:jc w:val="both"/>
        <w:rPr>
          <w:rFonts w:ascii="Times New Roman" w:eastAsia="Calibri" w:hAnsi="Times New Roman"/>
          <w:b/>
          <w:bCs/>
          <w:color w:val="000000"/>
          <w:szCs w:val="22"/>
          <w:lang w:eastAsia="en-US"/>
        </w:rPr>
      </w:pPr>
    </w:p>
    <w:p w14:paraId="2329F413" w14:textId="77777777" w:rsidR="0044523F" w:rsidRPr="00576E57" w:rsidRDefault="0044523F" w:rsidP="0044523F">
      <w:pPr>
        <w:autoSpaceDE w:val="0"/>
        <w:autoSpaceDN w:val="0"/>
        <w:adjustRightInd w:val="0"/>
        <w:jc w:val="both"/>
        <w:rPr>
          <w:rFonts w:ascii="Times New Roman" w:eastAsia="Calibri" w:hAnsi="Times New Roman"/>
          <w:color w:val="000000"/>
          <w:szCs w:val="22"/>
          <w:lang w:eastAsia="en-US"/>
        </w:rPr>
      </w:pPr>
      <w:r w:rsidRPr="00576E57">
        <w:rPr>
          <w:rFonts w:ascii="Times New Roman" w:eastAsia="Calibri" w:hAnsi="Times New Roman"/>
          <w:b/>
          <w:bCs/>
          <w:color w:val="000000"/>
          <w:szCs w:val="22"/>
          <w:lang w:eastAsia="en-US"/>
        </w:rPr>
        <w:t xml:space="preserve">12. SUPERVISIÓN, CUMPLIMIENTO Y SOLUCIONES INTERNAS </w:t>
      </w:r>
    </w:p>
    <w:p w14:paraId="1B852FEE" w14:textId="77777777" w:rsidR="0044523F" w:rsidRPr="00576E57" w:rsidRDefault="0044523F" w:rsidP="0044523F">
      <w:pPr>
        <w:autoSpaceDE w:val="0"/>
        <w:autoSpaceDN w:val="0"/>
        <w:adjustRightInd w:val="0"/>
        <w:jc w:val="both"/>
        <w:rPr>
          <w:rFonts w:ascii="Times New Roman" w:eastAsia="Calibri" w:hAnsi="Times New Roman"/>
          <w:color w:val="000000"/>
          <w:szCs w:val="22"/>
          <w:lang w:eastAsia="en-US"/>
        </w:rPr>
      </w:pPr>
      <w:r w:rsidRPr="00576E57">
        <w:rPr>
          <w:rFonts w:ascii="Times New Roman" w:eastAsia="Calibri" w:hAnsi="Times New Roman"/>
          <w:color w:val="000000"/>
          <w:szCs w:val="22"/>
          <w:lang w:eastAsia="en-US"/>
        </w:rPr>
        <w:t xml:space="preserve">Habrá que designar a una entidad independiente que se encargue de la implementación de estos principios e investigue en caso de litigio, por tanto, los puntos focales de protección de datos designados deberán colaborar en el monitoreo y capacitación correspondientes. Asimismo, se adoptarán medidas para resolver cualquier caso de recopilación o procesamiento de datos ilícito, así como cualquier violación de los derechos o intereses del interesado. </w:t>
      </w:r>
    </w:p>
    <w:p w14:paraId="5F8C8BAF" w14:textId="77777777" w:rsidR="0044523F" w:rsidRPr="00576E57" w:rsidRDefault="0044523F" w:rsidP="0044523F">
      <w:pPr>
        <w:autoSpaceDE w:val="0"/>
        <w:autoSpaceDN w:val="0"/>
        <w:adjustRightInd w:val="0"/>
        <w:jc w:val="both"/>
        <w:rPr>
          <w:rFonts w:ascii="Times New Roman" w:eastAsia="Calibri" w:hAnsi="Times New Roman"/>
          <w:b/>
          <w:bCs/>
          <w:color w:val="000000"/>
          <w:szCs w:val="22"/>
          <w:lang w:eastAsia="en-US"/>
        </w:rPr>
      </w:pPr>
    </w:p>
    <w:p w14:paraId="2DD7AAB1" w14:textId="77777777" w:rsidR="0044523F" w:rsidRPr="00576E57" w:rsidRDefault="0044523F" w:rsidP="0044523F">
      <w:pPr>
        <w:autoSpaceDE w:val="0"/>
        <w:autoSpaceDN w:val="0"/>
        <w:adjustRightInd w:val="0"/>
        <w:jc w:val="both"/>
        <w:rPr>
          <w:rFonts w:ascii="Times New Roman" w:eastAsia="Calibri" w:hAnsi="Times New Roman"/>
          <w:color w:val="000000"/>
          <w:szCs w:val="22"/>
          <w:lang w:eastAsia="en-US"/>
        </w:rPr>
      </w:pPr>
      <w:r w:rsidRPr="00576E57">
        <w:rPr>
          <w:rFonts w:ascii="Times New Roman" w:eastAsia="Calibri" w:hAnsi="Times New Roman"/>
          <w:b/>
          <w:bCs/>
          <w:color w:val="000000"/>
          <w:szCs w:val="22"/>
          <w:lang w:eastAsia="en-US"/>
        </w:rPr>
        <w:t xml:space="preserve">13. EXCEPCIONES </w:t>
      </w:r>
    </w:p>
    <w:p w14:paraId="45BC1447" w14:textId="77777777" w:rsidR="0044523F" w:rsidRPr="00576E57" w:rsidRDefault="0044523F" w:rsidP="0044523F">
      <w:pPr>
        <w:autoSpaceDE w:val="0"/>
        <w:autoSpaceDN w:val="0"/>
        <w:adjustRightInd w:val="0"/>
        <w:jc w:val="both"/>
        <w:rPr>
          <w:rFonts w:ascii="Times New Roman" w:eastAsia="Calibri" w:hAnsi="Times New Roman"/>
          <w:color w:val="000000"/>
          <w:szCs w:val="22"/>
          <w:lang w:eastAsia="en-US"/>
        </w:rPr>
      </w:pPr>
      <w:r w:rsidRPr="00576E57">
        <w:rPr>
          <w:rFonts w:ascii="Times New Roman" w:eastAsia="Calibri" w:hAnsi="Times New Roman"/>
          <w:color w:val="000000"/>
          <w:szCs w:val="22"/>
          <w:lang w:eastAsia="en-US"/>
        </w:rPr>
        <w:t xml:space="preserve">Cualquier intento de establecer una excepción con relación a estos principios deberá ser sometido a la aprobación de la Oficina de Asuntos Jurídicos de la OIM, así como de la Unidad/Departamento competente en la Sede de la OIM. </w:t>
      </w:r>
    </w:p>
    <w:p w14:paraId="5B62C8AD" w14:textId="77777777" w:rsidR="0044523F" w:rsidRPr="00576E57" w:rsidRDefault="0044523F" w:rsidP="0044523F">
      <w:pPr>
        <w:pageBreakBefore/>
        <w:autoSpaceDE w:val="0"/>
        <w:autoSpaceDN w:val="0"/>
        <w:adjustRightInd w:val="0"/>
        <w:jc w:val="center"/>
        <w:rPr>
          <w:rFonts w:ascii="Times New Roman" w:eastAsia="Calibri" w:hAnsi="Times New Roman"/>
          <w:color w:val="000000"/>
          <w:szCs w:val="22"/>
          <w:lang w:eastAsia="en-US"/>
        </w:rPr>
      </w:pPr>
      <w:r w:rsidRPr="00576E57">
        <w:rPr>
          <w:rFonts w:ascii="Times New Roman" w:eastAsia="Calibri" w:hAnsi="Times New Roman"/>
          <w:b/>
          <w:bCs/>
          <w:color w:val="000000"/>
          <w:szCs w:val="22"/>
          <w:u w:val="single"/>
          <w:lang w:eastAsia="en-US"/>
        </w:rPr>
        <w:lastRenderedPageBreak/>
        <w:t xml:space="preserve">GLOSARIO </w:t>
      </w:r>
    </w:p>
    <w:p w14:paraId="77B9695D" w14:textId="77777777" w:rsidR="0044523F" w:rsidRPr="00576E57" w:rsidRDefault="0044523F" w:rsidP="0044523F">
      <w:pPr>
        <w:autoSpaceDE w:val="0"/>
        <w:autoSpaceDN w:val="0"/>
        <w:adjustRightInd w:val="0"/>
        <w:jc w:val="both"/>
        <w:rPr>
          <w:rFonts w:ascii="Times New Roman" w:eastAsia="Calibri" w:hAnsi="Times New Roman"/>
          <w:b/>
          <w:bCs/>
          <w:color w:val="000000"/>
          <w:szCs w:val="22"/>
          <w:lang w:eastAsia="en-US"/>
        </w:rPr>
      </w:pPr>
    </w:p>
    <w:p w14:paraId="1F0C10CB" w14:textId="77777777" w:rsidR="0044523F" w:rsidRPr="00576E57" w:rsidRDefault="0044523F" w:rsidP="0044523F">
      <w:pPr>
        <w:autoSpaceDE w:val="0"/>
        <w:autoSpaceDN w:val="0"/>
        <w:adjustRightInd w:val="0"/>
        <w:spacing w:after="120"/>
        <w:jc w:val="both"/>
        <w:rPr>
          <w:rFonts w:ascii="Times New Roman" w:eastAsia="Calibri" w:hAnsi="Times New Roman"/>
          <w:color w:val="000000"/>
          <w:szCs w:val="22"/>
          <w:lang w:eastAsia="en-US"/>
        </w:rPr>
      </w:pPr>
      <w:r w:rsidRPr="00576E57">
        <w:rPr>
          <w:rFonts w:ascii="Times New Roman" w:eastAsia="Calibri" w:hAnsi="Times New Roman"/>
          <w:b/>
          <w:bCs/>
          <w:color w:val="000000"/>
          <w:szCs w:val="22"/>
          <w:lang w:eastAsia="en-US"/>
        </w:rPr>
        <w:t xml:space="preserve">Datos anónimos </w:t>
      </w:r>
      <w:r w:rsidRPr="00576E57">
        <w:rPr>
          <w:rFonts w:ascii="Times New Roman" w:eastAsia="Calibri" w:hAnsi="Times New Roman"/>
          <w:color w:val="000000"/>
          <w:szCs w:val="22"/>
          <w:lang w:eastAsia="en-US"/>
        </w:rPr>
        <w:t xml:space="preserve">– Datos en los cuales se ha retirado todos los factores personales identificables, por tanto, no existe una probabilidad razonable de que el interesado pueda ser identificado o encontrado. </w:t>
      </w:r>
    </w:p>
    <w:p w14:paraId="2CED06E7" w14:textId="77777777" w:rsidR="0044523F" w:rsidRPr="00576E57" w:rsidRDefault="0044523F" w:rsidP="0044523F">
      <w:pPr>
        <w:autoSpaceDE w:val="0"/>
        <w:autoSpaceDN w:val="0"/>
        <w:adjustRightInd w:val="0"/>
        <w:spacing w:after="120"/>
        <w:jc w:val="both"/>
        <w:rPr>
          <w:rFonts w:ascii="Times New Roman" w:eastAsia="Calibri" w:hAnsi="Times New Roman"/>
          <w:color w:val="000000"/>
          <w:szCs w:val="22"/>
          <w:lang w:eastAsia="en-US"/>
        </w:rPr>
      </w:pPr>
      <w:r w:rsidRPr="00576E57">
        <w:rPr>
          <w:rFonts w:ascii="Times New Roman" w:eastAsia="Calibri" w:hAnsi="Times New Roman"/>
          <w:b/>
          <w:bCs/>
          <w:color w:val="000000"/>
          <w:szCs w:val="22"/>
          <w:lang w:eastAsia="en-US"/>
        </w:rPr>
        <w:t xml:space="preserve">Consentimiento </w:t>
      </w:r>
      <w:r w:rsidRPr="00576E57">
        <w:rPr>
          <w:rFonts w:ascii="Times New Roman" w:eastAsia="Calibri" w:hAnsi="Times New Roman"/>
          <w:color w:val="000000"/>
          <w:szCs w:val="22"/>
          <w:lang w:eastAsia="en-US"/>
        </w:rPr>
        <w:t xml:space="preserve">– Cualquier decisión libre, voluntaria e informada expresada o implícita, otorgada con un propósito específico. </w:t>
      </w:r>
    </w:p>
    <w:p w14:paraId="1C2E8684" w14:textId="77777777" w:rsidR="0044523F" w:rsidRPr="00576E57" w:rsidRDefault="0044523F" w:rsidP="0044523F">
      <w:pPr>
        <w:autoSpaceDE w:val="0"/>
        <w:autoSpaceDN w:val="0"/>
        <w:adjustRightInd w:val="0"/>
        <w:spacing w:after="120"/>
        <w:jc w:val="both"/>
        <w:rPr>
          <w:rFonts w:ascii="Times New Roman" w:eastAsia="Calibri" w:hAnsi="Times New Roman"/>
          <w:color w:val="000000"/>
          <w:szCs w:val="22"/>
          <w:lang w:eastAsia="en-US"/>
        </w:rPr>
      </w:pPr>
      <w:r w:rsidRPr="00576E57">
        <w:rPr>
          <w:rFonts w:ascii="Times New Roman" w:eastAsia="Calibri" w:hAnsi="Times New Roman"/>
          <w:b/>
          <w:bCs/>
          <w:color w:val="000000"/>
          <w:szCs w:val="22"/>
          <w:lang w:eastAsia="en-US"/>
        </w:rPr>
        <w:t xml:space="preserve">Menor </w:t>
      </w:r>
      <w:r w:rsidRPr="00576E57">
        <w:rPr>
          <w:rFonts w:ascii="Times New Roman" w:eastAsia="Calibri" w:hAnsi="Times New Roman"/>
          <w:color w:val="000000"/>
          <w:szCs w:val="22"/>
          <w:lang w:eastAsia="en-US"/>
        </w:rPr>
        <w:t xml:space="preserve">– Cualquier persona de menos de 18 años de edad. </w:t>
      </w:r>
    </w:p>
    <w:p w14:paraId="3FEB2B14" w14:textId="77777777" w:rsidR="0044523F" w:rsidRPr="00576E57" w:rsidRDefault="0044523F" w:rsidP="0044523F">
      <w:pPr>
        <w:autoSpaceDE w:val="0"/>
        <w:autoSpaceDN w:val="0"/>
        <w:adjustRightInd w:val="0"/>
        <w:spacing w:after="120"/>
        <w:jc w:val="both"/>
        <w:rPr>
          <w:rFonts w:ascii="Times New Roman" w:eastAsia="Calibri" w:hAnsi="Times New Roman"/>
          <w:color w:val="000000"/>
          <w:szCs w:val="22"/>
          <w:lang w:eastAsia="en-US"/>
        </w:rPr>
      </w:pPr>
      <w:r w:rsidRPr="00576E57">
        <w:rPr>
          <w:rFonts w:ascii="Times New Roman" w:eastAsia="Calibri" w:hAnsi="Times New Roman"/>
          <w:b/>
          <w:bCs/>
          <w:color w:val="000000"/>
          <w:szCs w:val="22"/>
          <w:lang w:eastAsia="en-US"/>
        </w:rPr>
        <w:t xml:space="preserve">Encargado del procesamiento de datos </w:t>
      </w:r>
      <w:r w:rsidRPr="00576E57">
        <w:rPr>
          <w:rFonts w:ascii="Times New Roman" w:eastAsia="Calibri" w:hAnsi="Times New Roman"/>
          <w:color w:val="000000"/>
          <w:szCs w:val="22"/>
          <w:lang w:eastAsia="en-US"/>
        </w:rPr>
        <w:t>– Miembro del personal de la OIM o representante de terceros que tiene la autoridad para decidir sobre el contenido y la utilización de los datos personales</w:t>
      </w:r>
      <w:r w:rsidRPr="00576E57">
        <w:rPr>
          <w:rFonts w:ascii="Times New Roman" w:eastAsia="Calibri" w:hAnsi="Times New Roman"/>
          <w:b/>
          <w:bCs/>
          <w:color w:val="000000"/>
          <w:szCs w:val="22"/>
          <w:lang w:eastAsia="en-US"/>
        </w:rPr>
        <w:t xml:space="preserve">. </w:t>
      </w:r>
    </w:p>
    <w:p w14:paraId="3BE06FCA" w14:textId="77777777" w:rsidR="0044523F" w:rsidRPr="00576E57" w:rsidRDefault="0044523F" w:rsidP="0044523F">
      <w:pPr>
        <w:autoSpaceDE w:val="0"/>
        <w:autoSpaceDN w:val="0"/>
        <w:adjustRightInd w:val="0"/>
        <w:spacing w:after="120"/>
        <w:jc w:val="both"/>
        <w:rPr>
          <w:rFonts w:ascii="Times New Roman" w:eastAsia="Calibri" w:hAnsi="Times New Roman"/>
          <w:color w:val="000000"/>
          <w:szCs w:val="22"/>
          <w:lang w:eastAsia="en-US"/>
        </w:rPr>
      </w:pPr>
      <w:r w:rsidRPr="00576E57">
        <w:rPr>
          <w:rFonts w:ascii="Times New Roman" w:eastAsia="Calibri" w:hAnsi="Times New Roman"/>
          <w:b/>
          <w:bCs/>
          <w:color w:val="000000"/>
          <w:szCs w:val="22"/>
          <w:lang w:eastAsia="en-US"/>
        </w:rPr>
        <w:t xml:space="preserve">Procesamiento de datos </w:t>
      </w:r>
      <w:r w:rsidRPr="00576E57">
        <w:rPr>
          <w:rFonts w:ascii="Times New Roman" w:eastAsia="Calibri" w:hAnsi="Times New Roman"/>
          <w:color w:val="000000"/>
          <w:szCs w:val="22"/>
          <w:lang w:eastAsia="en-US"/>
        </w:rPr>
        <w:t>– La manera en que se recopilan, inscriben, almacenan, archivan, buscan, utilizan, divulgan, comunican, transfieren y destruyen datos personales</w:t>
      </w:r>
      <w:r w:rsidRPr="00576E57">
        <w:rPr>
          <w:rFonts w:ascii="Times New Roman" w:eastAsia="Calibri" w:hAnsi="Times New Roman"/>
          <w:b/>
          <w:bCs/>
          <w:color w:val="000000"/>
          <w:szCs w:val="22"/>
          <w:lang w:eastAsia="en-US"/>
        </w:rPr>
        <w:t xml:space="preserve">. </w:t>
      </w:r>
    </w:p>
    <w:p w14:paraId="2C2D63D6" w14:textId="77777777" w:rsidR="0044523F" w:rsidRPr="00576E57" w:rsidRDefault="0044523F" w:rsidP="0044523F">
      <w:pPr>
        <w:autoSpaceDE w:val="0"/>
        <w:autoSpaceDN w:val="0"/>
        <w:adjustRightInd w:val="0"/>
        <w:spacing w:after="120"/>
        <w:jc w:val="both"/>
        <w:rPr>
          <w:rFonts w:ascii="Times New Roman" w:eastAsia="Calibri" w:hAnsi="Times New Roman"/>
          <w:color w:val="000000"/>
          <w:szCs w:val="22"/>
          <w:lang w:eastAsia="en-US"/>
        </w:rPr>
      </w:pPr>
      <w:r w:rsidRPr="00576E57">
        <w:rPr>
          <w:rFonts w:ascii="Times New Roman" w:eastAsia="Calibri" w:hAnsi="Times New Roman"/>
          <w:b/>
          <w:bCs/>
          <w:color w:val="000000"/>
          <w:szCs w:val="22"/>
          <w:lang w:eastAsia="en-US"/>
        </w:rPr>
        <w:t xml:space="preserve">Protección de datos </w:t>
      </w:r>
      <w:r w:rsidRPr="00576E57">
        <w:rPr>
          <w:rFonts w:ascii="Times New Roman" w:eastAsia="Calibri" w:hAnsi="Times New Roman"/>
          <w:color w:val="000000"/>
          <w:szCs w:val="22"/>
          <w:lang w:eastAsia="en-US"/>
        </w:rPr>
        <w:t>– Aplicación sistemática de una serie de salvaguardas institucionales, técnicas y físicas para preservar el derecho a la intimidad con respecto a la recopilación, almacenamiento, utilización y divulgación de datos personales</w:t>
      </w:r>
      <w:r w:rsidRPr="00576E57">
        <w:rPr>
          <w:rFonts w:ascii="Times New Roman" w:eastAsia="Calibri" w:hAnsi="Times New Roman"/>
          <w:b/>
          <w:bCs/>
          <w:color w:val="000000"/>
          <w:szCs w:val="22"/>
          <w:lang w:eastAsia="en-US"/>
        </w:rPr>
        <w:t xml:space="preserve">. </w:t>
      </w:r>
    </w:p>
    <w:p w14:paraId="645BDF35" w14:textId="77777777" w:rsidR="0044523F" w:rsidRPr="00576E57" w:rsidRDefault="0044523F" w:rsidP="0044523F">
      <w:pPr>
        <w:autoSpaceDE w:val="0"/>
        <w:autoSpaceDN w:val="0"/>
        <w:adjustRightInd w:val="0"/>
        <w:spacing w:after="120"/>
        <w:jc w:val="both"/>
        <w:rPr>
          <w:rFonts w:ascii="Times New Roman" w:eastAsia="Calibri" w:hAnsi="Times New Roman"/>
          <w:color w:val="000000"/>
          <w:szCs w:val="22"/>
          <w:lang w:eastAsia="en-US"/>
        </w:rPr>
      </w:pPr>
      <w:r w:rsidRPr="00576E57">
        <w:rPr>
          <w:rFonts w:ascii="Times New Roman" w:eastAsia="Calibri" w:hAnsi="Times New Roman"/>
          <w:b/>
          <w:bCs/>
          <w:color w:val="000000"/>
          <w:szCs w:val="22"/>
          <w:lang w:eastAsia="en-US"/>
        </w:rPr>
        <w:t xml:space="preserve">Punto focal de protección de datos </w:t>
      </w:r>
      <w:r w:rsidRPr="00576E57">
        <w:rPr>
          <w:rFonts w:ascii="Times New Roman" w:eastAsia="Calibri" w:hAnsi="Times New Roman"/>
          <w:color w:val="000000"/>
          <w:szCs w:val="22"/>
          <w:lang w:eastAsia="en-US"/>
        </w:rPr>
        <w:t xml:space="preserve">– Cualquier miembro del personal de la OIM, nombrado por los representantes regionales de la OIM, para que haga las veces de punto de contacto o punto de referencia en materia de protección de datos y tenga a su cargo el monitoreo de las prácticas de protección de datos en la región a la cual ha sido asignado. </w:t>
      </w:r>
    </w:p>
    <w:p w14:paraId="338EE59F" w14:textId="77777777" w:rsidR="0044523F" w:rsidRPr="00576E57" w:rsidRDefault="0044523F" w:rsidP="0044523F">
      <w:pPr>
        <w:autoSpaceDE w:val="0"/>
        <w:autoSpaceDN w:val="0"/>
        <w:adjustRightInd w:val="0"/>
        <w:spacing w:after="120"/>
        <w:jc w:val="both"/>
        <w:rPr>
          <w:rFonts w:ascii="Times New Roman" w:eastAsia="Calibri" w:hAnsi="Times New Roman"/>
          <w:color w:val="000000"/>
          <w:szCs w:val="22"/>
          <w:lang w:eastAsia="en-US"/>
        </w:rPr>
      </w:pPr>
      <w:r w:rsidRPr="00576E57">
        <w:rPr>
          <w:rFonts w:ascii="Times New Roman" w:eastAsia="Calibri" w:hAnsi="Times New Roman"/>
          <w:b/>
          <w:bCs/>
          <w:color w:val="000000"/>
          <w:szCs w:val="22"/>
          <w:lang w:eastAsia="en-US"/>
        </w:rPr>
        <w:t xml:space="preserve">Interesado </w:t>
      </w:r>
      <w:r w:rsidRPr="00576E57">
        <w:rPr>
          <w:rFonts w:ascii="Times New Roman" w:eastAsia="Calibri" w:hAnsi="Times New Roman"/>
          <w:color w:val="000000"/>
          <w:szCs w:val="22"/>
          <w:lang w:eastAsia="en-US"/>
        </w:rPr>
        <w:t>– Beneficiario de la OIM que puede ser identificado, directa o indirectamente, con relación a un factor o grupo de factores específicos. Estos factores comprenden el nombre, el número de identificación, las circunstancias materiales, así como las características físicas, mentales, culturales, económicas o sociales que puedan servir para identificar a dicho beneficiario</w:t>
      </w:r>
      <w:r w:rsidRPr="00576E57">
        <w:rPr>
          <w:rFonts w:ascii="Times New Roman" w:eastAsia="Calibri" w:hAnsi="Times New Roman"/>
          <w:b/>
          <w:bCs/>
          <w:color w:val="000000"/>
          <w:szCs w:val="22"/>
          <w:lang w:eastAsia="en-US"/>
        </w:rPr>
        <w:t xml:space="preserve">. </w:t>
      </w:r>
    </w:p>
    <w:p w14:paraId="0C0BD7C9" w14:textId="77777777" w:rsidR="0044523F" w:rsidRPr="00576E57" w:rsidRDefault="0044523F" w:rsidP="0044523F">
      <w:pPr>
        <w:autoSpaceDE w:val="0"/>
        <w:autoSpaceDN w:val="0"/>
        <w:adjustRightInd w:val="0"/>
        <w:spacing w:after="120"/>
        <w:jc w:val="both"/>
        <w:rPr>
          <w:rFonts w:ascii="Times New Roman" w:eastAsia="Calibri" w:hAnsi="Times New Roman"/>
          <w:color w:val="000000"/>
          <w:szCs w:val="22"/>
          <w:lang w:eastAsia="en-US"/>
        </w:rPr>
      </w:pPr>
      <w:r w:rsidRPr="00576E57">
        <w:rPr>
          <w:rFonts w:ascii="Times New Roman" w:eastAsia="Calibri" w:hAnsi="Times New Roman"/>
          <w:b/>
          <w:bCs/>
          <w:color w:val="000000"/>
          <w:szCs w:val="22"/>
          <w:lang w:eastAsia="en-US"/>
        </w:rPr>
        <w:t xml:space="preserve">Registro electrónico </w:t>
      </w:r>
      <w:r w:rsidRPr="00576E57">
        <w:rPr>
          <w:rFonts w:ascii="Times New Roman" w:eastAsia="Calibri" w:hAnsi="Times New Roman"/>
          <w:color w:val="000000"/>
          <w:szCs w:val="22"/>
          <w:lang w:eastAsia="en-US"/>
        </w:rPr>
        <w:t xml:space="preserve">– Cualquier sistema electrónico de archivo de datos que contenga datos personales. </w:t>
      </w:r>
    </w:p>
    <w:p w14:paraId="3D61F763" w14:textId="77777777" w:rsidR="0044523F" w:rsidRPr="00576E57" w:rsidRDefault="0044523F" w:rsidP="0044523F">
      <w:pPr>
        <w:autoSpaceDE w:val="0"/>
        <w:autoSpaceDN w:val="0"/>
        <w:adjustRightInd w:val="0"/>
        <w:spacing w:after="120"/>
        <w:jc w:val="both"/>
        <w:rPr>
          <w:rFonts w:ascii="Times New Roman" w:eastAsia="Calibri" w:hAnsi="Times New Roman"/>
          <w:color w:val="000000"/>
          <w:szCs w:val="22"/>
          <w:lang w:eastAsia="en-US"/>
        </w:rPr>
      </w:pPr>
      <w:r w:rsidRPr="00576E57">
        <w:rPr>
          <w:rFonts w:ascii="Times New Roman" w:eastAsia="Calibri" w:hAnsi="Times New Roman"/>
          <w:b/>
          <w:bCs/>
          <w:color w:val="000000"/>
          <w:szCs w:val="22"/>
          <w:lang w:eastAsia="en-US"/>
        </w:rPr>
        <w:t xml:space="preserve">OIM – </w:t>
      </w:r>
      <w:r w:rsidRPr="00576E57">
        <w:rPr>
          <w:rFonts w:ascii="Times New Roman" w:eastAsia="Calibri" w:hAnsi="Times New Roman"/>
          <w:color w:val="000000"/>
          <w:szCs w:val="22"/>
          <w:lang w:eastAsia="en-US"/>
        </w:rPr>
        <w:t xml:space="preserve">Organización Internacional para las Migraciones. </w:t>
      </w:r>
    </w:p>
    <w:p w14:paraId="725C61BC" w14:textId="77777777" w:rsidR="0044523F" w:rsidRPr="00576E57" w:rsidRDefault="0044523F" w:rsidP="0044523F">
      <w:pPr>
        <w:autoSpaceDE w:val="0"/>
        <w:autoSpaceDN w:val="0"/>
        <w:adjustRightInd w:val="0"/>
        <w:spacing w:after="120"/>
        <w:jc w:val="both"/>
        <w:rPr>
          <w:rFonts w:ascii="Times New Roman" w:eastAsia="Calibri" w:hAnsi="Times New Roman"/>
          <w:color w:val="000000"/>
          <w:szCs w:val="22"/>
          <w:lang w:eastAsia="en-US"/>
        </w:rPr>
      </w:pPr>
      <w:r w:rsidRPr="00576E57">
        <w:rPr>
          <w:rFonts w:ascii="Times New Roman" w:eastAsia="Calibri" w:hAnsi="Times New Roman"/>
          <w:b/>
          <w:bCs/>
          <w:color w:val="000000"/>
          <w:szCs w:val="22"/>
          <w:lang w:eastAsia="en-US"/>
        </w:rPr>
        <w:t xml:space="preserve">Beneficiario de la OIM </w:t>
      </w:r>
      <w:r w:rsidRPr="00576E57">
        <w:rPr>
          <w:rFonts w:ascii="Times New Roman" w:eastAsia="Calibri" w:hAnsi="Times New Roman"/>
          <w:color w:val="000000"/>
          <w:szCs w:val="22"/>
          <w:lang w:eastAsia="en-US"/>
        </w:rPr>
        <w:t xml:space="preserve">– Cualquier persona que reciba asistencia o que se beneficie de un programa o proyecto de la OIM. </w:t>
      </w:r>
    </w:p>
    <w:p w14:paraId="5D1E6228" w14:textId="77777777" w:rsidR="0044523F" w:rsidRPr="00576E57" w:rsidRDefault="0044523F" w:rsidP="0044523F">
      <w:pPr>
        <w:autoSpaceDE w:val="0"/>
        <w:autoSpaceDN w:val="0"/>
        <w:adjustRightInd w:val="0"/>
        <w:spacing w:after="120"/>
        <w:jc w:val="both"/>
        <w:rPr>
          <w:rFonts w:ascii="Times New Roman" w:eastAsia="Calibri" w:hAnsi="Times New Roman"/>
          <w:color w:val="000000"/>
          <w:szCs w:val="22"/>
          <w:lang w:eastAsia="en-US"/>
        </w:rPr>
      </w:pPr>
      <w:r w:rsidRPr="00576E57">
        <w:rPr>
          <w:rFonts w:ascii="Times New Roman" w:eastAsia="Calibri" w:hAnsi="Times New Roman"/>
          <w:b/>
          <w:bCs/>
          <w:color w:val="000000"/>
          <w:szCs w:val="22"/>
          <w:lang w:eastAsia="en-US"/>
        </w:rPr>
        <w:t xml:space="preserve">Sede de la OIM </w:t>
      </w:r>
      <w:r w:rsidRPr="00576E57">
        <w:rPr>
          <w:rFonts w:ascii="Times New Roman" w:eastAsia="Calibri" w:hAnsi="Times New Roman"/>
          <w:color w:val="000000"/>
          <w:szCs w:val="22"/>
          <w:lang w:eastAsia="en-US"/>
        </w:rPr>
        <w:t>– Oficina de la OIM localizada en Ginebra, Suiza</w:t>
      </w:r>
      <w:r w:rsidRPr="00576E57">
        <w:rPr>
          <w:rFonts w:ascii="Times New Roman" w:eastAsia="Calibri" w:hAnsi="Times New Roman"/>
          <w:b/>
          <w:bCs/>
          <w:color w:val="000000"/>
          <w:szCs w:val="22"/>
          <w:lang w:eastAsia="en-US"/>
        </w:rPr>
        <w:t xml:space="preserve">. </w:t>
      </w:r>
    </w:p>
    <w:p w14:paraId="71A871EB" w14:textId="77777777" w:rsidR="0044523F" w:rsidRPr="00576E57" w:rsidRDefault="0044523F" w:rsidP="0044523F">
      <w:pPr>
        <w:autoSpaceDE w:val="0"/>
        <w:autoSpaceDN w:val="0"/>
        <w:adjustRightInd w:val="0"/>
        <w:spacing w:after="120"/>
        <w:jc w:val="both"/>
        <w:rPr>
          <w:rFonts w:ascii="Times New Roman" w:eastAsia="Calibri" w:hAnsi="Times New Roman"/>
          <w:color w:val="000000"/>
          <w:szCs w:val="22"/>
          <w:lang w:eastAsia="en-US"/>
        </w:rPr>
      </w:pPr>
      <w:r w:rsidRPr="00576E57">
        <w:rPr>
          <w:rFonts w:ascii="Times New Roman" w:eastAsia="Calibri" w:hAnsi="Times New Roman"/>
          <w:b/>
          <w:bCs/>
          <w:color w:val="000000"/>
          <w:szCs w:val="22"/>
          <w:lang w:eastAsia="en-US"/>
        </w:rPr>
        <w:t xml:space="preserve">Personal de la OIM </w:t>
      </w:r>
      <w:r w:rsidRPr="00576E57">
        <w:rPr>
          <w:rFonts w:ascii="Times New Roman" w:eastAsia="Calibri" w:hAnsi="Times New Roman"/>
          <w:color w:val="000000"/>
          <w:szCs w:val="22"/>
          <w:lang w:eastAsia="en-US"/>
        </w:rPr>
        <w:t>– Todas las personas empleadas por la OIM, ya sea con carácter temporal o permanente, incluidos intérpretes oficiales y oficiosos, personal encargado de ingresar los datos, pasantes, investigadores, asesores designados y personal médico</w:t>
      </w:r>
      <w:r w:rsidRPr="00576E57">
        <w:rPr>
          <w:rFonts w:ascii="Times New Roman" w:eastAsia="Calibri" w:hAnsi="Times New Roman"/>
          <w:b/>
          <w:bCs/>
          <w:color w:val="000000"/>
          <w:szCs w:val="22"/>
          <w:lang w:eastAsia="en-US"/>
        </w:rPr>
        <w:t xml:space="preserve">. </w:t>
      </w:r>
    </w:p>
    <w:p w14:paraId="662738F5" w14:textId="77777777" w:rsidR="0044523F" w:rsidRPr="00576E57" w:rsidRDefault="0044523F" w:rsidP="0044523F">
      <w:pPr>
        <w:autoSpaceDE w:val="0"/>
        <w:autoSpaceDN w:val="0"/>
        <w:adjustRightInd w:val="0"/>
        <w:spacing w:after="120"/>
        <w:jc w:val="both"/>
        <w:rPr>
          <w:rFonts w:ascii="Times New Roman" w:eastAsia="Calibri" w:hAnsi="Times New Roman"/>
          <w:color w:val="000000"/>
          <w:szCs w:val="22"/>
          <w:lang w:eastAsia="en-US"/>
        </w:rPr>
      </w:pPr>
      <w:r w:rsidRPr="00576E57">
        <w:rPr>
          <w:rFonts w:ascii="Times New Roman" w:eastAsia="Calibri" w:hAnsi="Times New Roman"/>
          <w:b/>
          <w:bCs/>
          <w:color w:val="000000"/>
          <w:szCs w:val="22"/>
          <w:lang w:eastAsia="en-US"/>
        </w:rPr>
        <w:t xml:space="preserve">Unidad/Departamento de la OIM </w:t>
      </w:r>
      <w:r w:rsidRPr="00576E57">
        <w:rPr>
          <w:rFonts w:ascii="Times New Roman" w:eastAsia="Calibri" w:hAnsi="Times New Roman"/>
          <w:color w:val="000000"/>
          <w:szCs w:val="22"/>
          <w:lang w:eastAsia="en-US"/>
        </w:rPr>
        <w:t xml:space="preserve">– Estructura en la Sede de la OIM encargada de las esferas de actividad de la OIM. </w:t>
      </w:r>
    </w:p>
    <w:p w14:paraId="09C10120" w14:textId="77777777" w:rsidR="0044523F" w:rsidRPr="00576E57" w:rsidRDefault="0044523F" w:rsidP="0044523F">
      <w:pPr>
        <w:autoSpaceDE w:val="0"/>
        <w:autoSpaceDN w:val="0"/>
        <w:adjustRightInd w:val="0"/>
        <w:spacing w:after="120"/>
        <w:jc w:val="both"/>
        <w:rPr>
          <w:rFonts w:ascii="Times New Roman" w:eastAsia="Calibri" w:hAnsi="Times New Roman"/>
          <w:b/>
          <w:bCs/>
          <w:color w:val="000000"/>
          <w:szCs w:val="22"/>
          <w:lang w:eastAsia="en-US"/>
        </w:rPr>
      </w:pPr>
      <w:r w:rsidRPr="00576E57">
        <w:rPr>
          <w:rFonts w:ascii="Times New Roman" w:eastAsia="Calibri" w:hAnsi="Times New Roman"/>
          <w:b/>
          <w:bCs/>
          <w:color w:val="000000"/>
          <w:szCs w:val="22"/>
          <w:lang w:eastAsia="en-US"/>
        </w:rPr>
        <w:t xml:space="preserve">Saber </w:t>
      </w:r>
      <w:r w:rsidRPr="00576E57">
        <w:rPr>
          <w:rFonts w:ascii="Times New Roman" w:eastAsia="Calibri" w:hAnsi="Times New Roman"/>
          <w:color w:val="000000"/>
          <w:szCs w:val="22"/>
          <w:lang w:eastAsia="en-US"/>
        </w:rPr>
        <w:t>– Capacidad de comprender y apreciar plenamente el propósito específico para el cual se recopilan y procesan los datos</w:t>
      </w:r>
      <w:r w:rsidRPr="00576E57">
        <w:rPr>
          <w:rFonts w:ascii="Times New Roman" w:eastAsia="Calibri" w:hAnsi="Times New Roman"/>
          <w:b/>
          <w:bCs/>
          <w:color w:val="000000"/>
          <w:szCs w:val="22"/>
          <w:lang w:eastAsia="en-US"/>
        </w:rPr>
        <w:t>.</w:t>
      </w:r>
    </w:p>
    <w:p w14:paraId="4C54CE3D" w14:textId="77777777" w:rsidR="0044523F" w:rsidRPr="00576E57" w:rsidRDefault="0044523F" w:rsidP="0044523F">
      <w:pPr>
        <w:autoSpaceDE w:val="0"/>
        <w:autoSpaceDN w:val="0"/>
        <w:adjustRightInd w:val="0"/>
        <w:spacing w:after="120"/>
        <w:jc w:val="both"/>
        <w:rPr>
          <w:rFonts w:ascii="Times New Roman" w:eastAsia="Calibri" w:hAnsi="Times New Roman"/>
          <w:color w:val="000000"/>
          <w:szCs w:val="22"/>
          <w:lang w:eastAsia="en-US"/>
        </w:rPr>
      </w:pPr>
      <w:r w:rsidRPr="00576E57">
        <w:rPr>
          <w:rFonts w:ascii="Times New Roman" w:eastAsia="Calibri" w:hAnsi="Times New Roman"/>
          <w:b/>
          <w:bCs/>
          <w:color w:val="000000"/>
          <w:szCs w:val="22"/>
          <w:lang w:eastAsia="en-US"/>
        </w:rPr>
        <w:t xml:space="preserve">Datos impersonales </w:t>
      </w:r>
      <w:r w:rsidRPr="00576E57">
        <w:rPr>
          <w:rFonts w:ascii="Times New Roman" w:eastAsia="Calibri" w:hAnsi="Times New Roman"/>
          <w:color w:val="000000"/>
          <w:szCs w:val="22"/>
          <w:lang w:eastAsia="en-US"/>
        </w:rPr>
        <w:t>– Cualquier información que no se refiera a un interesado identificado o identificable</w:t>
      </w:r>
      <w:r w:rsidRPr="00576E57">
        <w:rPr>
          <w:rFonts w:ascii="Times New Roman" w:eastAsia="Calibri" w:hAnsi="Times New Roman"/>
          <w:b/>
          <w:bCs/>
          <w:color w:val="000000"/>
          <w:szCs w:val="22"/>
          <w:lang w:eastAsia="en-US"/>
        </w:rPr>
        <w:t xml:space="preserve">. </w:t>
      </w:r>
    </w:p>
    <w:p w14:paraId="6C78DB0A" w14:textId="77777777" w:rsidR="0044523F" w:rsidRPr="00576E57" w:rsidRDefault="0044523F" w:rsidP="0044523F">
      <w:pPr>
        <w:autoSpaceDE w:val="0"/>
        <w:autoSpaceDN w:val="0"/>
        <w:adjustRightInd w:val="0"/>
        <w:spacing w:after="120"/>
        <w:jc w:val="both"/>
        <w:rPr>
          <w:rFonts w:ascii="Times New Roman" w:eastAsia="Calibri" w:hAnsi="Times New Roman"/>
          <w:color w:val="000000"/>
          <w:szCs w:val="22"/>
          <w:lang w:eastAsia="en-US"/>
        </w:rPr>
      </w:pPr>
      <w:r w:rsidRPr="00576E57">
        <w:rPr>
          <w:rFonts w:ascii="Times New Roman" w:eastAsia="Calibri" w:hAnsi="Times New Roman"/>
          <w:b/>
          <w:bCs/>
          <w:color w:val="000000"/>
          <w:szCs w:val="22"/>
          <w:lang w:eastAsia="en-US"/>
        </w:rPr>
        <w:t xml:space="preserve">Registro en papel </w:t>
      </w:r>
      <w:r w:rsidRPr="00576E57">
        <w:rPr>
          <w:rFonts w:ascii="Times New Roman" w:eastAsia="Calibri" w:hAnsi="Times New Roman"/>
          <w:color w:val="000000"/>
          <w:szCs w:val="22"/>
          <w:lang w:eastAsia="en-US"/>
        </w:rPr>
        <w:t xml:space="preserve">– Cualquier documento impreso o escrito que contenga datos personales. </w:t>
      </w:r>
    </w:p>
    <w:p w14:paraId="73780983" w14:textId="77777777" w:rsidR="0044523F" w:rsidRPr="00576E57" w:rsidRDefault="0044523F" w:rsidP="0044523F">
      <w:pPr>
        <w:autoSpaceDE w:val="0"/>
        <w:autoSpaceDN w:val="0"/>
        <w:adjustRightInd w:val="0"/>
        <w:spacing w:after="120"/>
        <w:jc w:val="both"/>
        <w:rPr>
          <w:rFonts w:ascii="Times New Roman" w:eastAsia="Calibri" w:hAnsi="Times New Roman"/>
          <w:color w:val="000000"/>
          <w:szCs w:val="22"/>
          <w:lang w:eastAsia="en-US"/>
        </w:rPr>
      </w:pPr>
      <w:r w:rsidRPr="00576E57">
        <w:rPr>
          <w:rFonts w:ascii="Times New Roman" w:eastAsia="Calibri" w:hAnsi="Times New Roman"/>
          <w:b/>
          <w:bCs/>
          <w:color w:val="000000"/>
          <w:szCs w:val="22"/>
          <w:lang w:eastAsia="en-US"/>
        </w:rPr>
        <w:t xml:space="preserve">Datos personales </w:t>
      </w:r>
      <w:r w:rsidRPr="00576E57">
        <w:rPr>
          <w:rFonts w:ascii="Times New Roman" w:eastAsia="Calibri" w:hAnsi="Times New Roman"/>
          <w:color w:val="000000"/>
          <w:szCs w:val="22"/>
          <w:lang w:eastAsia="en-US"/>
        </w:rPr>
        <w:t>– Cualquier información relativa a un interesado, identificado o identificable, que se consigne por medios electrónicos o en papel</w:t>
      </w:r>
      <w:r w:rsidRPr="00576E57">
        <w:rPr>
          <w:rFonts w:ascii="Times New Roman" w:eastAsia="Calibri" w:hAnsi="Times New Roman"/>
          <w:b/>
          <w:bCs/>
          <w:color w:val="000000"/>
          <w:szCs w:val="22"/>
          <w:lang w:eastAsia="en-US"/>
        </w:rPr>
        <w:t xml:space="preserve">. </w:t>
      </w:r>
    </w:p>
    <w:p w14:paraId="5F11E298" w14:textId="77777777" w:rsidR="0044523F" w:rsidRPr="00576E57" w:rsidRDefault="0044523F" w:rsidP="0044523F">
      <w:pPr>
        <w:autoSpaceDE w:val="0"/>
        <w:autoSpaceDN w:val="0"/>
        <w:adjustRightInd w:val="0"/>
        <w:spacing w:after="120"/>
        <w:jc w:val="both"/>
        <w:rPr>
          <w:rFonts w:ascii="Times New Roman" w:eastAsia="Calibri" w:hAnsi="Times New Roman"/>
          <w:color w:val="000000"/>
          <w:szCs w:val="22"/>
          <w:lang w:eastAsia="en-US"/>
        </w:rPr>
      </w:pPr>
      <w:r w:rsidRPr="00576E57">
        <w:rPr>
          <w:rFonts w:ascii="Times New Roman" w:eastAsia="Calibri" w:hAnsi="Times New Roman"/>
          <w:b/>
          <w:bCs/>
          <w:color w:val="000000"/>
          <w:szCs w:val="22"/>
          <w:lang w:eastAsia="en-US"/>
        </w:rPr>
        <w:t xml:space="preserve">Terceros </w:t>
      </w:r>
      <w:r w:rsidRPr="00576E57">
        <w:rPr>
          <w:rFonts w:ascii="Times New Roman" w:eastAsia="Calibri" w:hAnsi="Times New Roman"/>
          <w:color w:val="000000"/>
          <w:szCs w:val="22"/>
          <w:lang w:eastAsia="en-US"/>
        </w:rPr>
        <w:t>– Cualquier persona física o jurídica, gobierno o cualquier otra entidad que no sea parte del objetivo original especificado para el cual se recopilan y procesan los datos personales. El tercero, que haya manifestado por escrito su acuerdo con las condiciones de transferencia esbozadas en el principio 5, estará autorizado a acceder y procesar datos personales</w:t>
      </w:r>
      <w:r w:rsidRPr="00576E57">
        <w:rPr>
          <w:rFonts w:ascii="Times New Roman" w:eastAsia="Calibri" w:hAnsi="Times New Roman"/>
          <w:b/>
          <w:bCs/>
          <w:color w:val="000000"/>
          <w:szCs w:val="22"/>
          <w:lang w:eastAsia="en-US"/>
        </w:rPr>
        <w:t xml:space="preserve">. </w:t>
      </w:r>
    </w:p>
    <w:p w14:paraId="4C2ED2BC" w14:textId="77777777" w:rsidR="0044523F" w:rsidRPr="00576E57" w:rsidRDefault="0044523F" w:rsidP="0044523F">
      <w:pPr>
        <w:autoSpaceDE w:val="0"/>
        <w:autoSpaceDN w:val="0"/>
        <w:adjustRightInd w:val="0"/>
        <w:spacing w:after="120"/>
        <w:jc w:val="both"/>
        <w:rPr>
          <w:rFonts w:ascii="Times New Roman" w:eastAsia="Calibri" w:hAnsi="Times New Roman"/>
          <w:color w:val="000000"/>
          <w:szCs w:val="22"/>
          <w:lang w:eastAsia="en-US"/>
        </w:rPr>
      </w:pPr>
      <w:r w:rsidRPr="00576E57">
        <w:rPr>
          <w:rFonts w:ascii="Times New Roman" w:eastAsia="Calibri" w:hAnsi="Times New Roman"/>
          <w:b/>
          <w:bCs/>
          <w:color w:val="000000"/>
          <w:szCs w:val="22"/>
          <w:lang w:eastAsia="en-US"/>
        </w:rPr>
        <w:lastRenderedPageBreak/>
        <w:t xml:space="preserve">Grupos vulnerables </w:t>
      </w:r>
      <w:r w:rsidRPr="00576E57">
        <w:rPr>
          <w:rFonts w:ascii="Times New Roman" w:eastAsia="Calibri" w:hAnsi="Times New Roman"/>
          <w:color w:val="000000"/>
          <w:szCs w:val="22"/>
          <w:lang w:eastAsia="en-US"/>
        </w:rPr>
        <w:t>– Cualquier grupo o sector de la sociedad, incluidos los menores, que estén particularmente expuestos al riesgo de ser objeto de prácticas discriminatorias, violencia, desastres naturales o penurias económicas</w:t>
      </w:r>
      <w:r w:rsidRPr="00576E57">
        <w:rPr>
          <w:rFonts w:ascii="Times New Roman" w:eastAsia="Calibri" w:hAnsi="Times New Roman"/>
          <w:b/>
          <w:bCs/>
          <w:color w:val="000000"/>
          <w:szCs w:val="22"/>
          <w:lang w:eastAsia="en-US"/>
        </w:rPr>
        <w:t xml:space="preserve">. </w:t>
      </w:r>
    </w:p>
    <w:p w14:paraId="3B575741" w14:textId="77777777" w:rsidR="0044523F" w:rsidRPr="00576E57" w:rsidRDefault="0044523F" w:rsidP="0044523F">
      <w:pPr>
        <w:spacing w:after="120" w:line="259" w:lineRule="auto"/>
        <w:rPr>
          <w:rFonts w:ascii="Times New Roman" w:eastAsia="Calibri" w:hAnsi="Times New Roman"/>
          <w:color w:val="auto"/>
          <w:szCs w:val="22"/>
          <w:lang w:eastAsia="en-US"/>
        </w:rPr>
      </w:pPr>
      <w:r w:rsidRPr="00576E57">
        <w:rPr>
          <w:rFonts w:ascii="Times New Roman" w:eastAsia="Calibri" w:hAnsi="Times New Roman"/>
          <w:b/>
          <w:bCs/>
          <w:color w:val="auto"/>
          <w:szCs w:val="22"/>
          <w:lang w:eastAsia="en-US"/>
        </w:rPr>
        <w:t xml:space="preserve">Personas vulnerables </w:t>
      </w:r>
      <w:r w:rsidRPr="00576E57">
        <w:rPr>
          <w:rFonts w:ascii="Times New Roman" w:eastAsia="Calibri" w:hAnsi="Times New Roman"/>
          <w:color w:val="auto"/>
          <w:szCs w:val="22"/>
          <w:lang w:eastAsia="en-US"/>
        </w:rPr>
        <w:t>– Cualquier beneficiario de la OIM que carezca de la capacidad jurídica, social, física o mental de otorgar su consentimiento.</w:t>
      </w:r>
    </w:p>
    <w:p w14:paraId="20BB341A" w14:textId="77777777" w:rsidR="0044523F" w:rsidRPr="00576E57" w:rsidRDefault="0044523F" w:rsidP="0044523F">
      <w:pPr>
        <w:autoSpaceDE w:val="0"/>
        <w:autoSpaceDN w:val="0"/>
        <w:adjustRightInd w:val="0"/>
        <w:jc w:val="both"/>
        <w:rPr>
          <w:rFonts w:ascii="Times New Roman" w:eastAsia="Calibri" w:hAnsi="Times New Roman"/>
          <w:color w:val="000000"/>
          <w:szCs w:val="22"/>
          <w:lang w:eastAsia="en-US"/>
        </w:rPr>
      </w:pPr>
    </w:p>
    <w:p w14:paraId="48CA9AF8" w14:textId="77777777" w:rsidR="0044523F" w:rsidRPr="00576E57" w:rsidRDefault="0044523F" w:rsidP="0044523F">
      <w:pPr>
        <w:rPr>
          <w:rFonts w:ascii="Times New Roman" w:hAnsi="Times New Roman"/>
        </w:rPr>
      </w:pPr>
    </w:p>
    <w:p w14:paraId="6F008195" w14:textId="4AA74904" w:rsidR="00DE199D" w:rsidRDefault="00DE199D">
      <w:pPr>
        <w:rPr>
          <w:rFonts w:ascii="Times New Roman" w:hAnsi="Times New Roman"/>
          <w:szCs w:val="22"/>
        </w:rPr>
      </w:pPr>
    </w:p>
    <w:p w14:paraId="0EA8FFA3" w14:textId="77777777" w:rsidR="00DE199D" w:rsidRDefault="00DE199D">
      <w:pPr>
        <w:spacing w:after="160" w:line="259" w:lineRule="auto"/>
        <w:rPr>
          <w:rFonts w:ascii="Times New Roman" w:hAnsi="Times New Roman"/>
          <w:szCs w:val="22"/>
        </w:rPr>
      </w:pPr>
      <w:r>
        <w:rPr>
          <w:rFonts w:ascii="Times New Roman" w:hAnsi="Times New Roman"/>
          <w:szCs w:val="22"/>
        </w:rPr>
        <w:br w:type="page"/>
      </w:r>
    </w:p>
    <w:p w14:paraId="2D989F54" w14:textId="68D9C0DC" w:rsidR="00C32F2C" w:rsidRPr="00C32F2C" w:rsidRDefault="00C32F2C" w:rsidP="00C32F2C">
      <w:pPr>
        <w:autoSpaceDE w:val="0"/>
        <w:autoSpaceDN w:val="0"/>
        <w:adjustRightInd w:val="0"/>
        <w:jc w:val="both"/>
        <w:rPr>
          <w:rFonts w:ascii="Times New Roman" w:eastAsia="Calibri" w:hAnsi="Times New Roman"/>
          <w:color w:val="000000"/>
          <w:szCs w:val="22"/>
          <w:lang w:eastAsia="en-US"/>
        </w:rPr>
        <w:sectPr w:rsidR="00C32F2C" w:rsidRPr="00C32F2C" w:rsidSect="00215636">
          <w:footerReference w:type="default" r:id="rId11"/>
          <w:pgSz w:w="12240" w:h="15840"/>
          <w:pgMar w:top="993" w:right="1440" w:bottom="1440" w:left="1440" w:header="720" w:footer="720" w:gutter="0"/>
          <w:cols w:space="720"/>
          <w:docGrid w:linePitch="360"/>
        </w:sectPr>
      </w:pPr>
    </w:p>
    <w:p w14:paraId="764CB61B" w14:textId="291CC1D9" w:rsidR="00C32F2C" w:rsidRPr="00956690" w:rsidRDefault="00C32F2C" w:rsidP="00C32F2C">
      <w:pPr>
        <w:pBdr>
          <w:top w:val="single" w:sz="4" w:space="1" w:color="auto"/>
          <w:left w:val="single" w:sz="4" w:space="4" w:color="auto"/>
          <w:bottom w:val="single" w:sz="4" w:space="1" w:color="auto"/>
          <w:right w:val="single" w:sz="4" w:space="4" w:color="auto"/>
        </w:pBdr>
        <w:spacing w:line="23" w:lineRule="atLeast"/>
        <w:jc w:val="center"/>
        <w:rPr>
          <w:rFonts w:ascii="Times New Roman" w:hAnsi="Times New Roman"/>
          <w:b/>
          <w:bCs/>
          <w:color w:val="000000"/>
          <w:szCs w:val="22"/>
          <w:lang w:val="es-ES_tradnl" w:eastAsia="en-US"/>
        </w:rPr>
      </w:pPr>
      <w:r w:rsidRPr="00956690">
        <w:rPr>
          <w:rFonts w:ascii="Times New Roman" w:hAnsi="Times New Roman"/>
          <w:b/>
          <w:bCs/>
          <w:color w:val="000000"/>
          <w:szCs w:val="22"/>
          <w:lang w:val="es-ES_tradnl" w:eastAsia="en-US"/>
        </w:rPr>
        <w:lastRenderedPageBreak/>
        <w:t xml:space="preserve">Anexo </w:t>
      </w:r>
      <w:r>
        <w:rPr>
          <w:rFonts w:ascii="Times New Roman" w:hAnsi="Times New Roman"/>
          <w:b/>
          <w:bCs/>
          <w:color w:val="000000"/>
          <w:szCs w:val="22"/>
          <w:lang w:val="es-ES_tradnl" w:eastAsia="en-US"/>
        </w:rPr>
        <w:t>D</w:t>
      </w:r>
    </w:p>
    <w:p w14:paraId="77F320DE" w14:textId="3AAA4162" w:rsidR="00C32F2C" w:rsidRPr="00956690" w:rsidRDefault="00C32F2C" w:rsidP="00C32F2C">
      <w:pPr>
        <w:pBdr>
          <w:top w:val="single" w:sz="4" w:space="1" w:color="auto"/>
          <w:left w:val="single" w:sz="4" w:space="4" w:color="auto"/>
          <w:bottom w:val="single" w:sz="4" w:space="1" w:color="auto"/>
          <w:right w:val="single" w:sz="4" w:space="4" w:color="auto"/>
        </w:pBdr>
        <w:spacing w:line="23" w:lineRule="atLeast"/>
        <w:jc w:val="center"/>
        <w:rPr>
          <w:rFonts w:ascii="Times New Roman" w:hAnsi="Times New Roman"/>
          <w:b/>
          <w:bCs/>
          <w:color w:val="000000"/>
          <w:szCs w:val="22"/>
          <w:lang w:val="es-ES_tradnl" w:eastAsia="en-US"/>
        </w:rPr>
      </w:pPr>
      <w:r w:rsidRPr="00956690">
        <w:rPr>
          <w:rFonts w:ascii="Times New Roman" w:hAnsi="Times New Roman"/>
          <w:b/>
          <w:bCs/>
          <w:color w:val="000000"/>
          <w:szCs w:val="22"/>
          <w:lang w:val="es-ES_tradnl" w:eastAsia="en-US"/>
        </w:rPr>
        <w:t xml:space="preserve">Diseño preliminar del Centro de Recepción para Poblaciones Retornadas vía terrestre </w:t>
      </w:r>
      <w:r>
        <w:rPr>
          <w:rFonts w:ascii="Times New Roman" w:hAnsi="Times New Roman"/>
          <w:b/>
          <w:bCs/>
          <w:color w:val="000000"/>
          <w:szCs w:val="22"/>
          <w:lang w:val="es-ES_tradnl" w:eastAsia="en-US"/>
        </w:rPr>
        <w:t>(</w:t>
      </w:r>
      <w:r w:rsidRPr="007B1A82">
        <w:rPr>
          <w:rFonts w:ascii="Times New Roman" w:hAnsi="Times New Roman"/>
          <w:b/>
          <w:bCs/>
          <w:snapToGrid w:val="0"/>
          <w:color w:val="auto"/>
          <w:szCs w:val="22"/>
        </w:rPr>
        <w:t>CRPR)</w:t>
      </w:r>
    </w:p>
    <w:p w14:paraId="7A131F5E" w14:textId="77631131" w:rsidR="001C559B" w:rsidRDefault="00CC45AE">
      <w:pPr>
        <w:rPr>
          <w:rFonts w:ascii="Times New Roman" w:hAnsi="Times New Roman"/>
          <w:szCs w:val="22"/>
          <w:lang w:val="es-ES_tradnl"/>
        </w:rPr>
      </w:pPr>
      <w:r w:rsidRPr="00A64993">
        <w:rPr>
          <w:rFonts w:ascii="Times New Roman" w:hAnsi="Times New Roman"/>
          <w:noProof/>
          <w:szCs w:val="22"/>
          <w:lang w:val="es-ES_tradnl"/>
        </w:rPr>
        <w:drawing>
          <wp:anchor distT="0" distB="0" distL="114300" distR="114300" simplePos="0" relativeHeight="251659264" behindDoc="0" locked="0" layoutInCell="1" allowOverlap="1" wp14:anchorId="0523E6B3" wp14:editId="3A9E7AD2">
            <wp:simplePos x="0" y="0"/>
            <wp:positionH relativeFrom="page">
              <wp:posOffset>1187450</wp:posOffset>
            </wp:positionH>
            <wp:positionV relativeFrom="paragraph">
              <wp:posOffset>151130</wp:posOffset>
            </wp:positionV>
            <wp:extent cx="7683500" cy="5059680"/>
            <wp:effectExtent l="0" t="0" r="0" b="7620"/>
            <wp:wrapSquare wrapText="bothSides"/>
            <wp:docPr id="158896724"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96724" name="Imagen 1" descr="Interfaz de usuario gráfica, Texto, Aplicación&#10;&#10;Descripción generada automáticamente"/>
                    <pic:cNvPicPr/>
                  </pic:nvPicPr>
                  <pic:blipFill>
                    <a:blip r:embed="rId12">
                      <a:extLst>
                        <a:ext uri="{28A0092B-C50C-407E-A947-70E740481C1C}">
                          <a14:useLocalDpi xmlns:a14="http://schemas.microsoft.com/office/drawing/2010/main" val="0"/>
                        </a:ext>
                      </a:extLst>
                    </a:blip>
                    <a:stretch>
                      <a:fillRect/>
                    </a:stretch>
                  </pic:blipFill>
                  <pic:spPr>
                    <a:xfrm>
                      <a:off x="0" y="0"/>
                      <a:ext cx="7683500" cy="5059680"/>
                    </a:xfrm>
                    <a:prstGeom prst="rect">
                      <a:avLst/>
                    </a:prstGeom>
                  </pic:spPr>
                </pic:pic>
              </a:graphicData>
            </a:graphic>
            <wp14:sizeRelH relativeFrom="page">
              <wp14:pctWidth>0</wp14:pctWidth>
            </wp14:sizeRelH>
            <wp14:sizeRelV relativeFrom="page">
              <wp14:pctHeight>0</wp14:pctHeight>
            </wp14:sizeRelV>
          </wp:anchor>
        </w:drawing>
      </w:r>
    </w:p>
    <w:p w14:paraId="10002685" w14:textId="300B0CF7" w:rsidR="00872A9E" w:rsidRDefault="00872A9E">
      <w:pPr>
        <w:rPr>
          <w:rFonts w:ascii="Times New Roman" w:hAnsi="Times New Roman"/>
          <w:szCs w:val="22"/>
          <w:lang w:val="es-ES_tradnl"/>
        </w:rPr>
      </w:pPr>
    </w:p>
    <w:p w14:paraId="557640A4" w14:textId="43322FDD" w:rsidR="00872A9E" w:rsidRDefault="00872A9E">
      <w:pPr>
        <w:rPr>
          <w:rFonts w:ascii="Times New Roman" w:hAnsi="Times New Roman"/>
          <w:szCs w:val="22"/>
          <w:lang w:val="es-ES_tradnl"/>
        </w:rPr>
      </w:pPr>
    </w:p>
    <w:p w14:paraId="2C4F3B4E" w14:textId="77777777" w:rsidR="00872A9E" w:rsidRDefault="00872A9E">
      <w:pPr>
        <w:rPr>
          <w:rFonts w:ascii="Times New Roman" w:hAnsi="Times New Roman"/>
          <w:szCs w:val="22"/>
          <w:lang w:val="es-ES_tradnl"/>
        </w:rPr>
      </w:pPr>
    </w:p>
    <w:p w14:paraId="61FC6A86" w14:textId="77777777" w:rsidR="00872A9E" w:rsidRDefault="00872A9E">
      <w:pPr>
        <w:rPr>
          <w:rFonts w:ascii="Times New Roman" w:hAnsi="Times New Roman"/>
          <w:szCs w:val="22"/>
          <w:lang w:val="es-ES_tradnl"/>
        </w:rPr>
      </w:pPr>
    </w:p>
    <w:p w14:paraId="39AB66AD" w14:textId="77777777" w:rsidR="00872A9E" w:rsidRDefault="00872A9E">
      <w:pPr>
        <w:rPr>
          <w:rFonts w:ascii="Times New Roman" w:hAnsi="Times New Roman"/>
          <w:szCs w:val="22"/>
          <w:lang w:val="es-ES_tradnl"/>
        </w:rPr>
      </w:pPr>
    </w:p>
    <w:p w14:paraId="26F7E4CD" w14:textId="77777777" w:rsidR="00872A9E" w:rsidRDefault="00872A9E">
      <w:pPr>
        <w:rPr>
          <w:rFonts w:ascii="Times New Roman" w:hAnsi="Times New Roman"/>
          <w:szCs w:val="22"/>
          <w:lang w:val="es-ES_tradnl"/>
        </w:rPr>
      </w:pPr>
    </w:p>
    <w:p w14:paraId="23F19D66" w14:textId="77777777" w:rsidR="00872A9E" w:rsidRDefault="00872A9E">
      <w:pPr>
        <w:rPr>
          <w:rFonts w:ascii="Times New Roman" w:hAnsi="Times New Roman"/>
          <w:szCs w:val="22"/>
          <w:lang w:val="es-ES_tradnl"/>
        </w:rPr>
      </w:pPr>
    </w:p>
    <w:p w14:paraId="5C5615C7" w14:textId="77777777" w:rsidR="00872A9E" w:rsidRDefault="00872A9E">
      <w:pPr>
        <w:rPr>
          <w:rFonts w:ascii="Times New Roman" w:hAnsi="Times New Roman"/>
          <w:szCs w:val="22"/>
          <w:lang w:val="es-ES_tradnl"/>
        </w:rPr>
      </w:pPr>
    </w:p>
    <w:p w14:paraId="0A3FBFDA" w14:textId="77777777" w:rsidR="00872A9E" w:rsidRDefault="00872A9E">
      <w:pPr>
        <w:rPr>
          <w:rFonts w:ascii="Times New Roman" w:hAnsi="Times New Roman"/>
          <w:szCs w:val="22"/>
          <w:lang w:val="es-ES_tradnl"/>
        </w:rPr>
      </w:pPr>
    </w:p>
    <w:p w14:paraId="52584428" w14:textId="77777777" w:rsidR="00872A9E" w:rsidRDefault="00872A9E">
      <w:pPr>
        <w:rPr>
          <w:rFonts w:ascii="Times New Roman" w:hAnsi="Times New Roman"/>
          <w:szCs w:val="22"/>
          <w:lang w:val="es-ES_tradnl"/>
        </w:rPr>
      </w:pPr>
    </w:p>
    <w:p w14:paraId="4D1A0C70" w14:textId="77777777" w:rsidR="00872A9E" w:rsidRDefault="00872A9E">
      <w:pPr>
        <w:rPr>
          <w:rFonts w:ascii="Times New Roman" w:hAnsi="Times New Roman"/>
          <w:szCs w:val="22"/>
          <w:lang w:val="es-ES_tradnl"/>
        </w:rPr>
      </w:pPr>
    </w:p>
    <w:p w14:paraId="14DE4018" w14:textId="77777777" w:rsidR="00872A9E" w:rsidRDefault="00872A9E">
      <w:pPr>
        <w:rPr>
          <w:rFonts w:ascii="Times New Roman" w:hAnsi="Times New Roman"/>
          <w:szCs w:val="22"/>
          <w:lang w:val="es-ES_tradnl"/>
        </w:rPr>
      </w:pPr>
    </w:p>
    <w:p w14:paraId="160A892E" w14:textId="77777777" w:rsidR="00872A9E" w:rsidRDefault="00872A9E">
      <w:pPr>
        <w:rPr>
          <w:rFonts w:ascii="Times New Roman" w:hAnsi="Times New Roman"/>
          <w:szCs w:val="22"/>
          <w:lang w:val="es-ES_tradnl"/>
        </w:rPr>
      </w:pPr>
    </w:p>
    <w:p w14:paraId="2751FEEC" w14:textId="77777777" w:rsidR="00872A9E" w:rsidRDefault="00872A9E">
      <w:pPr>
        <w:rPr>
          <w:rFonts w:ascii="Times New Roman" w:hAnsi="Times New Roman"/>
          <w:szCs w:val="22"/>
          <w:lang w:val="es-ES_tradnl"/>
        </w:rPr>
      </w:pPr>
    </w:p>
    <w:p w14:paraId="08258239" w14:textId="77777777" w:rsidR="00872A9E" w:rsidRDefault="00872A9E">
      <w:pPr>
        <w:rPr>
          <w:rFonts w:ascii="Times New Roman" w:hAnsi="Times New Roman"/>
          <w:szCs w:val="22"/>
          <w:lang w:val="es-ES_tradnl"/>
        </w:rPr>
      </w:pPr>
    </w:p>
    <w:p w14:paraId="2EF922E7" w14:textId="77777777" w:rsidR="00872A9E" w:rsidRDefault="00872A9E">
      <w:pPr>
        <w:rPr>
          <w:rFonts w:ascii="Times New Roman" w:hAnsi="Times New Roman"/>
          <w:szCs w:val="22"/>
          <w:lang w:val="es-ES_tradnl"/>
        </w:rPr>
      </w:pPr>
    </w:p>
    <w:p w14:paraId="2FF98880" w14:textId="77777777" w:rsidR="00872A9E" w:rsidRDefault="00872A9E">
      <w:pPr>
        <w:rPr>
          <w:rFonts w:ascii="Times New Roman" w:hAnsi="Times New Roman"/>
          <w:szCs w:val="22"/>
          <w:lang w:val="es-ES_tradnl"/>
        </w:rPr>
      </w:pPr>
    </w:p>
    <w:p w14:paraId="130CCD9C" w14:textId="77777777" w:rsidR="00872A9E" w:rsidRDefault="00872A9E">
      <w:pPr>
        <w:rPr>
          <w:rFonts w:ascii="Times New Roman" w:hAnsi="Times New Roman"/>
          <w:szCs w:val="22"/>
          <w:lang w:val="es-ES_tradnl"/>
        </w:rPr>
      </w:pPr>
    </w:p>
    <w:p w14:paraId="2D18C1A7" w14:textId="77777777" w:rsidR="00872A9E" w:rsidRDefault="00872A9E">
      <w:pPr>
        <w:rPr>
          <w:rFonts w:ascii="Times New Roman" w:hAnsi="Times New Roman"/>
          <w:szCs w:val="22"/>
          <w:lang w:val="es-ES_tradnl"/>
        </w:rPr>
      </w:pPr>
    </w:p>
    <w:p w14:paraId="40F8E4F9" w14:textId="77777777" w:rsidR="00872A9E" w:rsidRDefault="00872A9E">
      <w:pPr>
        <w:rPr>
          <w:rFonts w:ascii="Times New Roman" w:hAnsi="Times New Roman"/>
          <w:szCs w:val="22"/>
          <w:lang w:val="es-ES_tradnl"/>
        </w:rPr>
      </w:pPr>
    </w:p>
    <w:p w14:paraId="4ED0B555" w14:textId="77777777" w:rsidR="00872A9E" w:rsidRDefault="00872A9E">
      <w:pPr>
        <w:rPr>
          <w:rFonts w:ascii="Times New Roman" w:hAnsi="Times New Roman"/>
          <w:szCs w:val="22"/>
          <w:lang w:val="es-ES_tradnl"/>
        </w:rPr>
      </w:pPr>
    </w:p>
    <w:p w14:paraId="427BFC69" w14:textId="77777777" w:rsidR="00872A9E" w:rsidRDefault="00872A9E">
      <w:pPr>
        <w:rPr>
          <w:rFonts w:ascii="Times New Roman" w:hAnsi="Times New Roman"/>
          <w:szCs w:val="22"/>
          <w:lang w:val="es-ES_tradnl"/>
        </w:rPr>
      </w:pPr>
    </w:p>
    <w:p w14:paraId="7573370F" w14:textId="77777777" w:rsidR="00872A9E" w:rsidRDefault="00872A9E">
      <w:pPr>
        <w:rPr>
          <w:rFonts w:ascii="Times New Roman" w:hAnsi="Times New Roman"/>
          <w:szCs w:val="22"/>
          <w:lang w:val="es-ES_tradnl"/>
        </w:rPr>
      </w:pPr>
    </w:p>
    <w:p w14:paraId="7FD3902D" w14:textId="77777777" w:rsidR="00872A9E" w:rsidRDefault="00872A9E">
      <w:pPr>
        <w:rPr>
          <w:rFonts w:ascii="Times New Roman" w:hAnsi="Times New Roman"/>
          <w:szCs w:val="22"/>
          <w:lang w:val="es-ES_tradnl"/>
        </w:rPr>
      </w:pPr>
    </w:p>
    <w:p w14:paraId="5B44C7B1" w14:textId="77777777" w:rsidR="00872A9E" w:rsidRDefault="00872A9E">
      <w:pPr>
        <w:rPr>
          <w:rFonts w:ascii="Times New Roman" w:hAnsi="Times New Roman"/>
          <w:szCs w:val="22"/>
          <w:lang w:val="es-ES_tradnl"/>
        </w:rPr>
      </w:pPr>
    </w:p>
    <w:p w14:paraId="3E371FF3" w14:textId="77777777" w:rsidR="00872A9E" w:rsidRDefault="00872A9E">
      <w:pPr>
        <w:rPr>
          <w:rFonts w:ascii="Times New Roman" w:hAnsi="Times New Roman"/>
          <w:szCs w:val="22"/>
          <w:lang w:val="es-ES_tradnl"/>
        </w:rPr>
      </w:pPr>
    </w:p>
    <w:p w14:paraId="79F9C764" w14:textId="77777777" w:rsidR="00872A9E" w:rsidRDefault="00872A9E">
      <w:pPr>
        <w:rPr>
          <w:rFonts w:ascii="Times New Roman" w:hAnsi="Times New Roman"/>
          <w:szCs w:val="22"/>
          <w:lang w:val="es-ES_tradnl"/>
        </w:rPr>
      </w:pPr>
    </w:p>
    <w:p w14:paraId="430F2EE5" w14:textId="77777777" w:rsidR="00872A9E" w:rsidRDefault="00872A9E">
      <w:pPr>
        <w:rPr>
          <w:rFonts w:ascii="Times New Roman" w:hAnsi="Times New Roman"/>
          <w:szCs w:val="22"/>
          <w:lang w:val="es-ES_tradnl"/>
        </w:rPr>
      </w:pPr>
    </w:p>
    <w:p w14:paraId="268E22F2" w14:textId="77777777" w:rsidR="00872A9E" w:rsidRDefault="00872A9E">
      <w:pPr>
        <w:rPr>
          <w:rFonts w:ascii="Times New Roman" w:hAnsi="Times New Roman"/>
          <w:szCs w:val="22"/>
          <w:lang w:val="es-ES_tradnl"/>
        </w:rPr>
      </w:pPr>
    </w:p>
    <w:p w14:paraId="574D0C71" w14:textId="77777777" w:rsidR="00872A9E" w:rsidRDefault="00872A9E">
      <w:pPr>
        <w:rPr>
          <w:rFonts w:ascii="Times New Roman" w:hAnsi="Times New Roman"/>
          <w:szCs w:val="22"/>
          <w:lang w:val="es-ES_tradnl"/>
        </w:rPr>
      </w:pPr>
    </w:p>
    <w:p w14:paraId="43DCBB8D" w14:textId="77777777" w:rsidR="00872A9E" w:rsidRDefault="00872A9E">
      <w:pPr>
        <w:rPr>
          <w:rFonts w:ascii="Times New Roman" w:hAnsi="Times New Roman"/>
          <w:szCs w:val="22"/>
          <w:lang w:val="es-ES_tradnl"/>
        </w:rPr>
      </w:pPr>
    </w:p>
    <w:p w14:paraId="42A5D4E7" w14:textId="77777777" w:rsidR="00872A9E" w:rsidRDefault="00872A9E">
      <w:pPr>
        <w:rPr>
          <w:rFonts w:ascii="Times New Roman" w:hAnsi="Times New Roman"/>
          <w:szCs w:val="22"/>
          <w:lang w:val="es-ES_tradnl"/>
        </w:rPr>
      </w:pPr>
    </w:p>
    <w:p w14:paraId="736AE2EC" w14:textId="77777777" w:rsidR="00872A9E" w:rsidRDefault="00872A9E">
      <w:pPr>
        <w:rPr>
          <w:rFonts w:ascii="Times New Roman" w:hAnsi="Times New Roman"/>
          <w:szCs w:val="22"/>
          <w:lang w:val="es-ES_tradnl"/>
        </w:rPr>
      </w:pPr>
    </w:p>
    <w:p w14:paraId="4FDFFDBA" w14:textId="572E8C6C" w:rsidR="00872A9E" w:rsidRDefault="00D54549">
      <w:pPr>
        <w:rPr>
          <w:rFonts w:ascii="Times New Roman" w:hAnsi="Times New Roman"/>
          <w:szCs w:val="22"/>
          <w:lang w:val="es-ES_tradnl"/>
        </w:rPr>
      </w:pPr>
      <w:r w:rsidRPr="00D54549">
        <w:rPr>
          <w:rFonts w:ascii="Times New Roman" w:hAnsi="Times New Roman"/>
          <w:noProof/>
          <w:szCs w:val="22"/>
          <w:lang w:val="es-ES_tradnl"/>
        </w:rPr>
        <w:lastRenderedPageBreak/>
        <w:drawing>
          <wp:anchor distT="0" distB="0" distL="114300" distR="114300" simplePos="0" relativeHeight="251660288" behindDoc="0" locked="0" layoutInCell="1" allowOverlap="1" wp14:anchorId="2FCDF51C" wp14:editId="3989BF56">
            <wp:simplePos x="0" y="0"/>
            <wp:positionH relativeFrom="column">
              <wp:posOffset>0</wp:posOffset>
            </wp:positionH>
            <wp:positionV relativeFrom="paragraph">
              <wp:posOffset>0</wp:posOffset>
            </wp:positionV>
            <wp:extent cx="8287385" cy="5943600"/>
            <wp:effectExtent l="0" t="0" r="0" b="0"/>
            <wp:wrapSquare wrapText="bothSides"/>
            <wp:docPr id="1164758908"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758908" name="Imagen 1" descr="Texto&#10;&#10;Descripción generada automáticamente"/>
                    <pic:cNvPicPr/>
                  </pic:nvPicPr>
                  <pic:blipFill>
                    <a:blip r:embed="rId13">
                      <a:extLst>
                        <a:ext uri="{28A0092B-C50C-407E-A947-70E740481C1C}">
                          <a14:useLocalDpi xmlns:a14="http://schemas.microsoft.com/office/drawing/2010/main" val="0"/>
                        </a:ext>
                      </a:extLst>
                    </a:blip>
                    <a:stretch>
                      <a:fillRect/>
                    </a:stretch>
                  </pic:blipFill>
                  <pic:spPr>
                    <a:xfrm>
                      <a:off x="0" y="0"/>
                      <a:ext cx="8287385" cy="5943600"/>
                    </a:xfrm>
                    <a:prstGeom prst="rect">
                      <a:avLst/>
                    </a:prstGeom>
                  </pic:spPr>
                </pic:pic>
              </a:graphicData>
            </a:graphic>
            <wp14:sizeRelH relativeFrom="page">
              <wp14:pctWidth>0</wp14:pctWidth>
            </wp14:sizeRelH>
            <wp14:sizeRelV relativeFrom="page">
              <wp14:pctHeight>0</wp14:pctHeight>
            </wp14:sizeRelV>
          </wp:anchor>
        </w:drawing>
      </w:r>
    </w:p>
    <w:p w14:paraId="5C1886E9" w14:textId="2C28837A" w:rsidR="00872A9E" w:rsidRDefault="00375117">
      <w:pPr>
        <w:rPr>
          <w:rFonts w:ascii="Times New Roman" w:hAnsi="Times New Roman"/>
          <w:szCs w:val="22"/>
          <w:lang w:val="es-ES_tradnl"/>
        </w:rPr>
      </w:pPr>
      <w:r w:rsidRPr="00375117">
        <w:rPr>
          <w:rFonts w:ascii="Times New Roman" w:hAnsi="Times New Roman"/>
          <w:noProof/>
          <w:szCs w:val="22"/>
          <w:lang w:val="es-ES_tradnl"/>
        </w:rPr>
        <w:lastRenderedPageBreak/>
        <w:drawing>
          <wp:anchor distT="0" distB="0" distL="114300" distR="114300" simplePos="0" relativeHeight="251661312" behindDoc="0" locked="0" layoutInCell="1" allowOverlap="1" wp14:anchorId="2948B33E" wp14:editId="156B49F0">
            <wp:simplePos x="0" y="0"/>
            <wp:positionH relativeFrom="column">
              <wp:posOffset>0</wp:posOffset>
            </wp:positionH>
            <wp:positionV relativeFrom="paragraph">
              <wp:posOffset>0</wp:posOffset>
            </wp:positionV>
            <wp:extent cx="8287385" cy="5943600"/>
            <wp:effectExtent l="0" t="0" r="0" b="0"/>
            <wp:wrapSquare wrapText="bothSides"/>
            <wp:docPr id="579435468"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435468" name="Imagen 1" descr="Diagrama&#10;&#10;Descripción generada automáticamente"/>
                    <pic:cNvPicPr/>
                  </pic:nvPicPr>
                  <pic:blipFill>
                    <a:blip r:embed="rId14">
                      <a:extLst>
                        <a:ext uri="{28A0092B-C50C-407E-A947-70E740481C1C}">
                          <a14:useLocalDpi xmlns:a14="http://schemas.microsoft.com/office/drawing/2010/main" val="0"/>
                        </a:ext>
                      </a:extLst>
                    </a:blip>
                    <a:stretch>
                      <a:fillRect/>
                    </a:stretch>
                  </pic:blipFill>
                  <pic:spPr>
                    <a:xfrm>
                      <a:off x="0" y="0"/>
                      <a:ext cx="8287385" cy="5943600"/>
                    </a:xfrm>
                    <a:prstGeom prst="rect">
                      <a:avLst/>
                    </a:prstGeom>
                  </pic:spPr>
                </pic:pic>
              </a:graphicData>
            </a:graphic>
            <wp14:sizeRelH relativeFrom="page">
              <wp14:pctWidth>0</wp14:pctWidth>
            </wp14:sizeRelH>
            <wp14:sizeRelV relativeFrom="page">
              <wp14:pctHeight>0</wp14:pctHeight>
            </wp14:sizeRelV>
          </wp:anchor>
        </w:drawing>
      </w:r>
    </w:p>
    <w:p w14:paraId="781CA111" w14:textId="1E0AE546" w:rsidR="00872A9E" w:rsidRDefault="00423EF6">
      <w:pPr>
        <w:rPr>
          <w:rFonts w:ascii="Times New Roman" w:hAnsi="Times New Roman"/>
          <w:szCs w:val="22"/>
          <w:lang w:val="es-ES_tradnl"/>
        </w:rPr>
      </w:pPr>
      <w:r w:rsidRPr="00423EF6">
        <w:rPr>
          <w:rFonts w:ascii="Times New Roman" w:hAnsi="Times New Roman"/>
          <w:noProof/>
          <w:szCs w:val="22"/>
          <w:lang w:val="es-ES_tradnl"/>
        </w:rPr>
        <w:lastRenderedPageBreak/>
        <w:drawing>
          <wp:anchor distT="0" distB="0" distL="114300" distR="114300" simplePos="0" relativeHeight="251662336" behindDoc="0" locked="0" layoutInCell="1" allowOverlap="1" wp14:anchorId="230A8294" wp14:editId="2CD5C0F3">
            <wp:simplePos x="0" y="0"/>
            <wp:positionH relativeFrom="column">
              <wp:posOffset>0</wp:posOffset>
            </wp:positionH>
            <wp:positionV relativeFrom="paragraph">
              <wp:posOffset>0</wp:posOffset>
            </wp:positionV>
            <wp:extent cx="8284845" cy="5943600"/>
            <wp:effectExtent l="0" t="0" r="1905" b="0"/>
            <wp:wrapSquare wrapText="bothSides"/>
            <wp:docPr id="381983951" name="Imagen 1"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983951" name="Imagen 1" descr="Diagrama, Dibujo de ingeniería&#10;&#10;Descripción generada automáticamente"/>
                    <pic:cNvPicPr/>
                  </pic:nvPicPr>
                  <pic:blipFill>
                    <a:blip r:embed="rId15">
                      <a:extLst>
                        <a:ext uri="{28A0092B-C50C-407E-A947-70E740481C1C}">
                          <a14:useLocalDpi xmlns:a14="http://schemas.microsoft.com/office/drawing/2010/main" val="0"/>
                        </a:ext>
                      </a:extLst>
                    </a:blip>
                    <a:stretch>
                      <a:fillRect/>
                    </a:stretch>
                  </pic:blipFill>
                  <pic:spPr>
                    <a:xfrm>
                      <a:off x="0" y="0"/>
                      <a:ext cx="8284845" cy="5943600"/>
                    </a:xfrm>
                    <a:prstGeom prst="rect">
                      <a:avLst/>
                    </a:prstGeom>
                  </pic:spPr>
                </pic:pic>
              </a:graphicData>
            </a:graphic>
            <wp14:sizeRelH relativeFrom="page">
              <wp14:pctWidth>0</wp14:pctWidth>
            </wp14:sizeRelH>
            <wp14:sizeRelV relativeFrom="page">
              <wp14:pctHeight>0</wp14:pctHeight>
            </wp14:sizeRelV>
          </wp:anchor>
        </w:drawing>
      </w:r>
    </w:p>
    <w:p w14:paraId="4ED240B5" w14:textId="236E5474" w:rsidR="00872A9E" w:rsidRDefault="00423EF6">
      <w:pPr>
        <w:rPr>
          <w:rFonts w:ascii="Times New Roman" w:hAnsi="Times New Roman"/>
          <w:szCs w:val="22"/>
          <w:lang w:val="es-ES_tradnl"/>
        </w:rPr>
      </w:pPr>
      <w:r w:rsidRPr="00423EF6">
        <w:rPr>
          <w:rFonts w:ascii="Times New Roman" w:hAnsi="Times New Roman"/>
          <w:noProof/>
          <w:szCs w:val="22"/>
          <w:lang w:val="es-ES_tradnl"/>
        </w:rPr>
        <w:lastRenderedPageBreak/>
        <w:drawing>
          <wp:anchor distT="0" distB="0" distL="114300" distR="114300" simplePos="0" relativeHeight="251663360" behindDoc="0" locked="0" layoutInCell="1" allowOverlap="1" wp14:anchorId="5AAABBC8" wp14:editId="63326E14">
            <wp:simplePos x="0" y="0"/>
            <wp:positionH relativeFrom="column">
              <wp:posOffset>0</wp:posOffset>
            </wp:positionH>
            <wp:positionV relativeFrom="paragraph">
              <wp:posOffset>0</wp:posOffset>
            </wp:positionV>
            <wp:extent cx="8291830" cy="5943600"/>
            <wp:effectExtent l="0" t="0" r="0" b="0"/>
            <wp:wrapSquare wrapText="bothSides"/>
            <wp:docPr id="1162417947" name="Imagen 1"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417947" name="Imagen 1" descr="Diagrama, Dibujo de ingeniería&#10;&#10;Descripción generada automáticamente"/>
                    <pic:cNvPicPr/>
                  </pic:nvPicPr>
                  <pic:blipFill>
                    <a:blip r:embed="rId16">
                      <a:extLst>
                        <a:ext uri="{28A0092B-C50C-407E-A947-70E740481C1C}">
                          <a14:useLocalDpi xmlns:a14="http://schemas.microsoft.com/office/drawing/2010/main" val="0"/>
                        </a:ext>
                      </a:extLst>
                    </a:blip>
                    <a:stretch>
                      <a:fillRect/>
                    </a:stretch>
                  </pic:blipFill>
                  <pic:spPr>
                    <a:xfrm>
                      <a:off x="0" y="0"/>
                      <a:ext cx="8291830" cy="5943600"/>
                    </a:xfrm>
                    <a:prstGeom prst="rect">
                      <a:avLst/>
                    </a:prstGeom>
                  </pic:spPr>
                </pic:pic>
              </a:graphicData>
            </a:graphic>
            <wp14:sizeRelH relativeFrom="page">
              <wp14:pctWidth>0</wp14:pctWidth>
            </wp14:sizeRelH>
            <wp14:sizeRelV relativeFrom="page">
              <wp14:pctHeight>0</wp14:pctHeight>
            </wp14:sizeRelV>
          </wp:anchor>
        </w:drawing>
      </w:r>
    </w:p>
    <w:p w14:paraId="43525522" w14:textId="1D2C868E" w:rsidR="00872A9E" w:rsidRDefault="00B41D48">
      <w:pPr>
        <w:rPr>
          <w:rFonts w:ascii="Times New Roman" w:hAnsi="Times New Roman"/>
          <w:szCs w:val="22"/>
          <w:lang w:val="es-ES_tradnl"/>
        </w:rPr>
      </w:pPr>
      <w:r w:rsidRPr="00B41D48">
        <w:rPr>
          <w:rFonts w:ascii="Times New Roman" w:hAnsi="Times New Roman"/>
          <w:noProof/>
          <w:szCs w:val="22"/>
          <w:lang w:val="es-ES_tradnl"/>
        </w:rPr>
        <w:lastRenderedPageBreak/>
        <w:drawing>
          <wp:inline distT="0" distB="0" distL="0" distR="0" wp14:anchorId="5032B067" wp14:editId="5E50A3B8">
            <wp:extent cx="8278495" cy="5943600"/>
            <wp:effectExtent l="0" t="0" r="8255" b="0"/>
            <wp:docPr id="1841928072" name="Imagen 1"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928072" name="Imagen 1" descr="Diagrama, Dibujo de ingeniería&#10;&#10;Descripción generada automáticamente"/>
                    <pic:cNvPicPr/>
                  </pic:nvPicPr>
                  <pic:blipFill>
                    <a:blip r:embed="rId17"/>
                    <a:stretch>
                      <a:fillRect/>
                    </a:stretch>
                  </pic:blipFill>
                  <pic:spPr>
                    <a:xfrm>
                      <a:off x="0" y="0"/>
                      <a:ext cx="8278495" cy="5943600"/>
                    </a:xfrm>
                    <a:prstGeom prst="rect">
                      <a:avLst/>
                    </a:prstGeom>
                  </pic:spPr>
                </pic:pic>
              </a:graphicData>
            </a:graphic>
          </wp:inline>
        </w:drawing>
      </w:r>
    </w:p>
    <w:p w14:paraId="29F64FF5" w14:textId="71130020" w:rsidR="00872A9E" w:rsidRDefault="00DE796C">
      <w:pPr>
        <w:rPr>
          <w:rFonts w:ascii="Times New Roman" w:hAnsi="Times New Roman"/>
          <w:szCs w:val="22"/>
          <w:lang w:val="es-ES_tradnl"/>
        </w:rPr>
      </w:pPr>
      <w:r w:rsidRPr="00DE796C">
        <w:rPr>
          <w:rFonts w:ascii="Times New Roman" w:hAnsi="Times New Roman"/>
          <w:noProof/>
          <w:szCs w:val="22"/>
          <w:lang w:val="es-ES_tradnl"/>
        </w:rPr>
        <w:lastRenderedPageBreak/>
        <w:drawing>
          <wp:anchor distT="0" distB="0" distL="114300" distR="114300" simplePos="0" relativeHeight="251664384" behindDoc="0" locked="0" layoutInCell="1" allowOverlap="1" wp14:anchorId="00F8B38E" wp14:editId="08011E5E">
            <wp:simplePos x="0" y="0"/>
            <wp:positionH relativeFrom="column">
              <wp:posOffset>0</wp:posOffset>
            </wp:positionH>
            <wp:positionV relativeFrom="paragraph">
              <wp:posOffset>0</wp:posOffset>
            </wp:positionV>
            <wp:extent cx="8272145" cy="5943600"/>
            <wp:effectExtent l="0" t="0" r="0" b="0"/>
            <wp:wrapSquare wrapText="bothSides"/>
            <wp:docPr id="1471242560" name="Imagen 1"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242560" name="Imagen 1" descr="Diagrama, Dibujo de ingeniería&#10;&#10;Descripción generada automáticamente"/>
                    <pic:cNvPicPr/>
                  </pic:nvPicPr>
                  <pic:blipFill>
                    <a:blip r:embed="rId18">
                      <a:extLst>
                        <a:ext uri="{28A0092B-C50C-407E-A947-70E740481C1C}">
                          <a14:useLocalDpi xmlns:a14="http://schemas.microsoft.com/office/drawing/2010/main" val="0"/>
                        </a:ext>
                      </a:extLst>
                    </a:blip>
                    <a:stretch>
                      <a:fillRect/>
                    </a:stretch>
                  </pic:blipFill>
                  <pic:spPr>
                    <a:xfrm>
                      <a:off x="0" y="0"/>
                      <a:ext cx="8272145" cy="5943600"/>
                    </a:xfrm>
                    <a:prstGeom prst="rect">
                      <a:avLst/>
                    </a:prstGeom>
                  </pic:spPr>
                </pic:pic>
              </a:graphicData>
            </a:graphic>
            <wp14:sizeRelH relativeFrom="page">
              <wp14:pctWidth>0</wp14:pctWidth>
            </wp14:sizeRelH>
            <wp14:sizeRelV relativeFrom="page">
              <wp14:pctHeight>0</wp14:pctHeight>
            </wp14:sizeRelV>
          </wp:anchor>
        </w:drawing>
      </w:r>
    </w:p>
    <w:p w14:paraId="10BBE45F" w14:textId="5F1272ED" w:rsidR="00872A9E" w:rsidRDefault="00DE796C">
      <w:pPr>
        <w:rPr>
          <w:rFonts w:ascii="Times New Roman" w:hAnsi="Times New Roman"/>
          <w:szCs w:val="22"/>
          <w:lang w:val="es-ES_tradnl"/>
        </w:rPr>
      </w:pPr>
      <w:r w:rsidRPr="00DE796C">
        <w:rPr>
          <w:rFonts w:ascii="Times New Roman" w:hAnsi="Times New Roman"/>
          <w:noProof/>
          <w:szCs w:val="22"/>
          <w:lang w:val="es-ES_tradnl"/>
        </w:rPr>
        <w:lastRenderedPageBreak/>
        <w:drawing>
          <wp:anchor distT="0" distB="0" distL="114300" distR="114300" simplePos="0" relativeHeight="251665408" behindDoc="0" locked="0" layoutInCell="1" allowOverlap="1" wp14:anchorId="61CFC6BC" wp14:editId="712417B3">
            <wp:simplePos x="0" y="0"/>
            <wp:positionH relativeFrom="column">
              <wp:posOffset>0</wp:posOffset>
            </wp:positionH>
            <wp:positionV relativeFrom="paragraph">
              <wp:posOffset>0</wp:posOffset>
            </wp:positionV>
            <wp:extent cx="8275955" cy="5943600"/>
            <wp:effectExtent l="0" t="0" r="0" b="0"/>
            <wp:wrapSquare wrapText="bothSides"/>
            <wp:docPr id="1795298858" name="Imagen 1"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298858" name="Imagen 1" descr="Diagrama, Dibujo de ingeniería&#10;&#10;Descripción generada automáticamente"/>
                    <pic:cNvPicPr/>
                  </pic:nvPicPr>
                  <pic:blipFill>
                    <a:blip r:embed="rId19">
                      <a:extLst>
                        <a:ext uri="{28A0092B-C50C-407E-A947-70E740481C1C}">
                          <a14:useLocalDpi xmlns:a14="http://schemas.microsoft.com/office/drawing/2010/main" val="0"/>
                        </a:ext>
                      </a:extLst>
                    </a:blip>
                    <a:stretch>
                      <a:fillRect/>
                    </a:stretch>
                  </pic:blipFill>
                  <pic:spPr>
                    <a:xfrm>
                      <a:off x="0" y="0"/>
                      <a:ext cx="8275955" cy="5943600"/>
                    </a:xfrm>
                    <a:prstGeom prst="rect">
                      <a:avLst/>
                    </a:prstGeom>
                  </pic:spPr>
                </pic:pic>
              </a:graphicData>
            </a:graphic>
            <wp14:sizeRelH relativeFrom="page">
              <wp14:pctWidth>0</wp14:pctWidth>
            </wp14:sizeRelH>
            <wp14:sizeRelV relativeFrom="page">
              <wp14:pctHeight>0</wp14:pctHeight>
            </wp14:sizeRelV>
          </wp:anchor>
        </w:drawing>
      </w:r>
    </w:p>
    <w:p w14:paraId="15645332" w14:textId="0ED6731B" w:rsidR="00872A9E" w:rsidRDefault="00F764AD">
      <w:pPr>
        <w:rPr>
          <w:rFonts w:ascii="Times New Roman" w:hAnsi="Times New Roman"/>
          <w:szCs w:val="22"/>
          <w:lang w:val="es-ES_tradnl"/>
        </w:rPr>
      </w:pPr>
      <w:r w:rsidRPr="00F764AD">
        <w:rPr>
          <w:rFonts w:ascii="Times New Roman" w:hAnsi="Times New Roman"/>
          <w:noProof/>
          <w:szCs w:val="22"/>
          <w:lang w:val="es-ES_tradnl"/>
        </w:rPr>
        <w:lastRenderedPageBreak/>
        <w:drawing>
          <wp:anchor distT="0" distB="0" distL="114300" distR="114300" simplePos="0" relativeHeight="251667456" behindDoc="0" locked="0" layoutInCell="1" allowOverlap="1" wp14:anchorId="540A9BA3" wp14:editId="5CFFCF5D">
            <wp:simplePos x="0" y="0"/>
            <wp:positionH relativeFrom="column">
              <wp:posOffset>0</wp:posOffset>
            </wp:positionH>
            <wp:positionV relativeFrom="paragraph">
              <wp:posOffset>0</wp:posOffset>
            </wp:positionV>
            <wp:extent cx="8267065" cy="5943600"/>
            <wp:effectExtent l="0" t="0" r="635" b="0"/>
            <wp:wrapSquare wrapText="bothSides"/>
            <wp:docPr id="213460879" name="Imagen 1"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60879" name="Imagen 1" descr="Diagrama, Esquemático&#10;&#10;Descripción generada automáticamente"/>
                    <pic:cNvPicPr/>
                  </pic:nvPicPr>
                  <pic:blipFill>
                    <a:blip r:embed="rId20">
                      <a:extLst>
                        <a:ext uri="{28A0092B-C50C-407E-A947-70E740481C1C}">
                          <a14:useLocalDpi xmlns:a14="http://schemas.microsoft.com/office/drawing/2010/main" val="0"/>
                        </a:ext>
                      </a:extLst>
                    </a:blip>
                    <a:stretch>
                      <a:fillRect/>
                    </a:stretch>
                  </pic:blipFill>
                  <pic:spPr>
                    <a:xfrm>
                      <a:off x="0" y="0"/>
                      <a:ext cx="8267065" cy="5943600"/>
                    </a:xfrm>
                    <a:prstGeom prst="rect">
                      <a:avLst/>
                    </a:prstGeom>
                  </pic:spPr>
                </pic:pic>
              </a:graphicData>
            </a:graphic>
            <wp14:sizeRelH relativeFrom="page">
              <wp14:pctWidth>0</wp14:pctWidth>
            </wp14:sizeRelH>
            <wp14:sizeRelV relativeFrom="page">
              <wp14:pctHeight>0</wp14:pctHeight>
            </wp14:sizeRelV>
          </wp:anchor>
        </w:drawing>
      </w:r>
    </w:p>
    <w:p w14:paraId="3CB32765" w14:textId="2A8FBD74" w:rsidR="00872A9E" w:rsidRDefault="009E70BE">
      <w:pPr>
        <w:rPr>
          <w:rFonts w:ascii="Times New Roman" w:hAnsi="Times New Roman"/>
          <w:szCs w:val="22"/>
          <w:lang w:val="es-ES_tradnl"/>
        </w:rPr>
      </w:pPr>
      <w:r w:rsidRPr="009E70BE">
        <w:rPr>
          <w:rFonts w:ascii="Times New Roman" w:hAnsi="Times New Roman"/>
          <w:noProof/>
          <w:szCs w:val="22"/>
          <w:lang w:val="es-ES_tradnl"/>
        </w:rPr>
        <w:lastRenderedPageBreak/>
        <w:drawing>
          <wp:anchor distT="0" distB="0" distL="114300" distR="114300" simplePos="0" relativeHeight="251668480" behindDoc="0" locked="0" layoutInCell="1" allowOverlap="1" wp14:anchorId="6763C5E2" wp14:editId="17B80D6D">
            <wp:simplePos x="0" y="0"/>
            <wp:positionH relativeFrom="column">
              <wp:posOffset>0</wp:posOffset>
            </wp:positionH>
            <wp:positionV relativeFrom="paragraph">
              <wp:posOffset>0</wp:posOffset>
            </wp:positionV>
            <wp:extent cx="8284845" cy="5943600"/>
            <wp:effectExtent l="0" t="0" r="1905" b="0"/>
            <wp:wrapSquare wrapText="bothSides"/>
            <wp:docPr id="1861185199" name="Imagen 1"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185199" name="Imagen 1" descr="Diagrama, Dibujo de ingeniería&#10;&#10;Descripción generada automáticamente"/>
                    <pic:cNvPicPr/>
                  </pic:nvPicPr>
                  <pic:blipFill>
                    <a:blip r:embed="rId21">
                      <a:extLst>
                        <a:ext uri="{28A0092B-C50C-407E-A947-70E740481C1C}">
                          <a14:useLocalDpi xmlns:a14="http://schemas.microsoft.com/office/drawing/2010/main" val="0"/>
                        </a:ext>
                      </a:extLst>
                    </a:blip>
                    <a:stretch>
                      <a:fillRect/>
                    </a:stretch>
                  </pic:blipFill>
                  <pic:spPr>
                    <a:xfrm>
                      <a:off x="0" y="0"/>
                      <a:ext cx="8284845" cy="5943600"/>
                    </a:xfrm>
                    <a:prstGeom prst="rect">
                      <a:avLst/>
                    </a:prstGeom>
                  </pic:spPr>
                </pic:pic>
              </a:graphicData>
            </a:graphic>
            <wp14:sizeRelH relativeFrom="page">
              <wp14:pctWidth>0</wp14:pctWidth>
            </wp14:sizeRelH>
            <wp14:sizeRelV relativeFrom="page">
              <wp14:pctHeight>0</wp14:pctHeight>
            </wp14:sizeRelV>
          </wp:anchor>
        </w:drawing>
      </w:r>
    </w:p>
    <w:p w14:paraId="20340913" w14:textId="2A8B7C0D" w:rsidR="00872A9E" w:rsidRDefault="00866F32">
      <w:pPr>
        <w:rPr>
          <w:rFonts w:ascii="Times New Roman" w:hAnsi="Times New Roman"/>
          <w:szCs w:val="22"/>
          <w:lang w:val="es-ES_tradnl"/>
        </w:rPr>
      </w:pPr>
      <w:r w:rsidRPr="00866F32">
        <w:rPr>
          <w:rFonts w:ascii="Times New Roman" w:hAnsi="Times New Roman"/>
          <w:noProof/>
          <w:szCs w:val="22"/>
          <w:lang w:val="es-ES_tradnl"/>
        </w:rPr>
        <w:lastRenderedPageBreak/>
        <w:drawing>
          <wp:anchor distT="0" distB="0" distL="114300" distR="114300" simplePos="0" relativeHeight="251669504" behindDoc="0" locked="0" layoutInCell="1" allowOverlap="1" wp14:anchorId="4422CBAD" wp14:editId="4A6E3394">
            <wp:simplePos x="0" y="0"/>
            <wp:positionH relativeFrom="column">
              <wp:posOffset>0</wp:posOffset>
            </wp:positionH>
            <wp:positionV relativeFrom="paragraph">
              <wp:posOffset>0</wp:posOffset>
            </wp:positionV>
            <wp:extent cx="8284845" cy="5943600"/>
            <wp:effectExtent l="0" t="0" r="1905" b="0"/>
            <wp:wrapSquare wrapText="bothSides"/>
            <wp:docPr id="1041774386" name="Imagen 1"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774386" name="Imagen 1" descr="Diagrama, Esquemático&#10;&#10;Descripción generada automáticamente"/>
                    <pic:cNvPicPr/>
                  </pic:nvPicPr>
                  <pic:blipFill>
                    <a:blip r:embed="rId22">
                      <a:extLst>
                        <a:ext uri="{28A0092B-C50C-407E-A947-70E740481C1C}">
                          <a14:useLocalDpi xmlns:a14="http://schemas.microsoft.com/office/drawing/2010/main" val="0"/>
                        </a:ext>
                      </a:extLst>
                    </a:blip>
                    <a:stretch>
                      <a:fillRect/>
                    </a:stretch>
                  </pic:blipFill>
                  <pic:spPr>
                    <a:xfrm>
                      <a:off x="0" y="0"/>
                      <a:ext cx="8284845" cy="5943600"/>
                    </a:xfrm>
                    <a:prstGeom prst="rect">
                      <a:avLst/>
                    </a:prstGeom>
                  </pic:spPr>
                </pic:pic>
              </a:graphicData>
            </a:graphic>
            <wp14:sizeRelH relativeFrom="page">
              <wp14:pctWidth>0</wp14:pctWidth>
            </wp14:sizeRelH>
            <wp14:sizeRelV relativeFrom="page">
              <wp14:pctHeight>0</wp14:pctHeight>
            </wp14:sizeRelV>
          </wp:anchor>
        </w:drawing>
      </w:r>
    </w:p>
    <w:p w14:paraId="29B8A006" w14:textId="3B172CB8" w:rsidR="00872A9E" w:rsidRDefault="007373BA">
      <w:pPr>
        <w:rPr>
          <w:rFonts w:ascii="Times New Roman" w:hAnsi="Times New Roman"/>
          <w:szCs w:val="22"/>
          <w:lang w:val="es-ES_tradnl"/>
        </w:rPr>
      </w:pPr>
      <w:r w:rsidRPr="007373BA">
        <w:rPr>
          <w:rFonts w:ascii="Times New Roman" w:hAnsi="Times New Roman"/>
          <w:noProof/>
          <w:szCs w:val="22"/>
          <w:lang w:val="es-ES_tradnl"/>
        </w:rPr>
        <w:lastRenderedPageBreak/>
        <w:drawing>
          <wp:anchor distT="0" distB="0" distL="114300" distR="114300" simplePos="0" relativeHeight="251670528" behindDoc="0" locked="0" layoutInCell="1" allowOverlap="1" wp14:anchorId="031B605F" wp14:editId="13A68711">
            <wp:simplePos x="0" y="0"/>
            <wp:positionH relativeFrom="column">
              <wp:posOffset>0</wp:posOffset>
            </wp:positionH>
            <wp:positionV relativeFrom="paragraph">
              <wp:posOffset>0</wp:posOffset>
            </wp:positionV>
            <wp:extent cx="8283575" cy="5943600"/>
            <wp:effectExtent l="0" t="0" r="3175" b="0"/>
            <wp:wrapSquare wrapText="bothSides"/>
            <wp:docPr id="175493013"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93013" name="Imagen 1" descr="Diagrama&#10;&#10;Descripción generada automáticamente"/>
                    <pic:cNvPicPr/>
                  </pic:nvPicPr>
                  <pic:blipFill>
                    <a:blip r:embed="rId23">
                      <a:extLst>
                        <a:ext uri="{28A0092B-C50C-407E-A947-70E740481C1C}">
                          <a14:useLocalDpi xmlns:a14="http://schemas.microsoft.com/office/drawing/2010/main" val="0"/>
                        </a:ext>
                      </a:extLst>
                    </a:blip>
                    <a:stretch>
                      <a:fillRect/>
                    </a:stretch>
                  </pic:blipFill>
                  <pic:spPr>
                    <a:xfrm>
                      <a:off x="0" y="0"/>
                      <a:ext cx="8283575" cy="5943600"/>
                    </a:xfrm>
                    <a:prstGeom prst="rect">
                      <a:avLst/>
                    </a:prstGeom>
                  </pic:spPr>
                </pic:pic>
              </a:graphicData>
            </a:graphic>
            <wp14:sizeRelH relativeFrom="page">
              <wp14:pctWidth>0</wp14:pctWidth>
            </wp14:sizeRelH>
            <wp14:sizeRelV relativeFrom="page">
              <wp14:pctHeight>0</wp14:pctHeight>
            </wp14:sizeRelV>
          </wp:anchor>
        </w:drawing>
      </w:r>
    </w:p>
    <w:p w14:paraId="666336DD" w14:textId="5A2CC60B" w:rsidR="00872A9E" w:rsidRDefault="00EE4DB5">
      <w:pPr>
        <w:rPr>
          <w:rFonts w:ascii="Times New Roman" w:hAnsi="Times New Roman"/>
          <w:szCs w:val="22"/>
          <w:lang w:val="es-ES_tradnl"/>
        </w:rPr>
      </w:pPr>
      <w:r w:rsidRPr="00EE4DB5">
        <w:rPr>
          <w:rFonts w:ascii="Times New Roman" w:hAnsi="Times New Roman"/>
          <w:noProof/>
          <w:szCs w:val="22"/>
          <w:lang w:val="es-ES_tradnl"/>
        </w:rPr>
        <w:lastRenderedPageBreak/>
        <w:drawing>
          <wp:anchor distT="0" distB="0" distL="114300" distR="114300" simplePos="0" relativeHeight="251671552" behindDoc="0" locked="0" layoutInCell="1" allowOverlap="1" wp14:anchorId="02B66D3D" wp14:editId="5EE58DB8">
            <wp:simplePos x="0" y="0"/>
            <wp:positionH relativeFrom="column">
              <wp:posOffset>0</wp:posOffset>
            </wp:positionH>
            <wp:positionV relativeFrom="paragraph">
              <wp:posOffset>0</wp:posOffset>
            </wp:positionV>
            <wp:extent cx="8281035" cy="5943600"/>
            <wp:effectExtent l="0" t="0" r="5715" b="0"/>
            <wp:wrapSquare wrapText="bothSides"/>
            <wp:docPr id="2030231818" name="Imagen 1"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231818" name="Imagen 1" descr="Diagrama, Dibujo de ingeniería&#10;&#10;Descripción generada automáticamente"/>
                    <pic:cNvPicPr/>
                  </pic:nvPicPr>
                  <pic:blipFill>
                    <a:blip r:embed="rId24">
                      <a:extLst>
                        <a:ext uri="{28A0092B-C50C-407E-A947-70E740481C1C}">
                          <a14:useLocalDpi xmlns:a14="http://schemas.microsoft.com/office/drawing/2010/main" val="0"/>
                        </a:ext>
                      </a:extLst>
                    </a:blip>
                    <a:stretch>
                      <a:fillRect/>
                    </a:stretch>
                  </pic:blipFill>
                  <pic:spPr>
                    <a:xfrm>
                      <a:off x="0" y="0"/>
                      <a:ext cx="8281035" cy="5943600"/>
                    </a:xfrm>
                    <a:prstGeom prst="rect">
                      <a:avLst/>
                    </a:prstGeom>
                  </pic:spPr>
                </pic:pic>
              </a:graphicData>
            </a:graphic>
            <wp14:sizeRelH relativeFrom="page">
              <wp14:pctWidth>0</wp14:pctWidth>
            </wp14:sizeRelH>
            <wp14:sizeRelV relativeFrom="page">
              <wp14:pctHeight>0</wp14:pctHeight>
            </wp14:sizeRelV>
          </wp:anchor>
        </w:drawing>
      </w:r>
    </w:p>
    <w:p w14:paraId="3A88F919" w14:textId="6EB81150" w:rsidR="00872A9E" w:rsidRDefault="009B229C">
      <w:pPr>
        <w:rPr>
          <w:rFonts w:ascii="Times New Roman" w:hAnsi="Times New Roman"/>
          <w:szCs w:val="22"/>
          <w:lang w:val="es-ES_tradnl"/>
        </w:rPr>
      </w:pPr>
      <w:r w:rsidRPr="009B229C">
        <w:rPr>
          <w:rFonts w:ascii="Times New Roman" w:hAnsi="Times New Roman"/>
          <w:noProof/>
          <w:szCs w:val="22"/>
          <w:lang w:val="es-ES_tradnl"/>
        </w:rPr>
        <w:lastRenderedPageBreak/>
        <w:drawing>
          <wp:anchor distT="0" distB="0" distL="114300" distR="114300" simplePos="0" relativeHeight="251672576" behindDoc="0" locked="0" layoutInCell="1" allowOverlap="1" wp14:anchorId="267D1A28" wp14:editId="75012B72">
            <wp:simplePos x="0" y="0"/>
            <wp:positionH relativeFrom="column">
              <wp:posOffset>0</wp:posOffset>
            </wp:positionH>
            <wp:positionV relativeFrom="paragraph">
              <wp:posOffset>0</wp:posOffset>
            </wp:positionV>
            <wp:extent cx="8278495" cy="5943600"/>
            <wp:effectExtent l="0" t="0" r="8255" b="0"/>
            <wp:wrapSquare wrapText="bothSides"/>
            <wp:docPr id="1971766975" name="Imagen 1"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766975" name="Imagen 1" descr="Diagrama, Esquemático&#10;&#10;Descripción generada automáticamente"/>
                    <pic:cNvPicPr/>
                  </pic:nvPicPr>
                  <pic:blipFill>
                    <a:blip r:embed="rId25">
                      <a:extLst>
                        <a:ext uri="{28A0092B-C50C-407E-A947-70E740481C1C}">
                          <a14:useLocalDpi xmlns:a14="http://schemas.microsoft.com/office/drawing/2010/main" val="0"/>
                        </a:ext>
                      </a:extLst>
                    </a:blip>
                    <a:stretch>
                      <a:fillRect/>
                    </a:stretch>
                  </pic:blipFill>
                  <pic:spPr>
                    <a:xfrm>
                      <a:off x="0" y="0"/>
                      <a:ext cx="8278495" cy="5943600"/>
                    </a:xfrm>
                    <a:prstGeom prst="rect">
                      <a:avLst/>
                    </a:prstGeom>
                  </pic:spPr>
                </pic:pic>
              </a:graphicData>
            </a:graphic>
            <wp14:sizeRelH relativeFrom="page">
              <wp14:pctWidth>0</wp14:pctWidth>
            </wp14:sizeRelH>
            <wp14:sizeRelV relativeFrom="page">
              <wp14:pctHeight>0</wp14:pctHeight>
            </wp14:sizeRelV>
          </wp:anchor>
        </w:drawing>
      </w:r>
    </w:p>
    <w:p w14:paraId="44167DAC" w14:textId="72D9D4BA" w:rsidR="00872A9E" w:rsidRDefault="009B229C">
      <w:pPr>
        <w:rPr>
          <w:rFonts w:ascii="Times New Roman" w:hAnsi="Times New Roman"/>
          <w:szCs w:val="22"/>
          <w:lang w:val="es-ES_tradnl"/>
        </w:rPr>
      </w:pPr>
      <w:r w:rsidRPr="009B229C">
        <w:rPr>
          <w:rFonts w:ascii="Times New Roman" w:hAnsi="Times New Roman"/>
          <w:noProof/>
          <w:szCs w:val="22"/>
          <w:lang w:val="es-ES_tradnl"/>
        </w:rPr>
        <w:lastRenderedPageBreak/>
        <w:drawing>
          <wp:anchor distT="0" distB="0" distL="114300" distR="114300" simplePos="0" relativeHeight="251673600" behindDoc="0" locked="0" layoutInCell="1" allowOverlap="1" wp14:anchorId="29C2E8DF" wp14:editId="7E7D412F">
            <wp:simplePos x="0" y="0"/>
            <wp:positionH relativeFrom="column">
              <wp:posOffset>0</wp:posOffset>
            </wp:positionH>
            <wp:positionV relativeFrom="paragraph">
              <wp:posOffset>0</wp:posOffset>
            </wp:positionV>
            <wp:extent cx="8299450" cy="5943600"/>
            <wp:effectExtent l="0" t="0" r="6350" b="0"/>
            <wp:wrapSquare wrapText="bothSides"/>
            <wp:docPr id="2047436746"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436746" name="Imagen 1" descr="Diagrama&#10;&#10;Descripción generada automáticamente"/>
                    <pic:cNvPicPr/>
                  </pic:nvPicPr>
                  <pic:blipFill>
                    <a:blip r:embed="rId26">
                      <a:extLst>
                        <a:ext uri="{28A0092B-C50C-407E-A947-70E740481C1C}">
                          <a14:useLocalDpi xmlns:a14="http://schemas.microsoft.com/office/drawing/2010/main" val="0"/>
                        </a:ext>
                      </a:extLst>
                    </a:blip>
                    <a:stretch>
                      <a:fillRect/>
                    </a:stretch>
                  </pic:blipFill>
                  <pic:spPr>
                    <a:xfrm>
                      <a:off x="0" y="0"/>
                      <a:ext cx="8299450" cy="5943600"/>
                    </a:xfrm>
                    <a:prstGeom prst="rect">
                      <a:avLst/>
                    </a:prstGeom>
                  </pic:spPr>
                </pic:pic>
              </a:graphicData>
            </a:graphic>
            <wp14:sizeRelH relativeFrom="page">
              <wp14:pctWidth>0</wp14:pctWidth>
            </wp14:sizeRelH>
            <wp14:sizeRelV relativeFrom="page">
              <wp14:pctHeight>0</wp14:pctHeight>
            </wp14:sizeRelV>
          </wp:anchor>
        </w:drawing>
      </w:r>
    </w:p>
    <w:p w14:paraId="073CE20B" w14:textId="4562A555" w:rsidR="00872A9E" w:rsidRDefault="00337005">
      <w:pPr>
        <w:rPr>
          <w:rFonts w:ascii="Times New Roman" w:hAnsi="Times New Roman"/>
          <w:szCs w:val="22"/>
          <w:lang w:val="es-ES_tradnl"/>
        </w:rPr>
      </w:pPr>
      <w:r w:rsidRPr="00337005">
        <w:rPr>
          <w:rFonts w:ascii="Times New Roman" w:hAnsi="Times New Roman"/>
          <w:noProof/>
          <w:szCs w:val="22"/>
          <w:lang w:val="es-ES_tradnl"/>
        </w:rPr>
        <w:lastRenderedPageBreak/>
        <w:drawing>
          <wp:anchor distT="0" distB="0" distL="114300" distR="114300" simplePos="0" relativeHeight="251674624" behindDoc="0" locked="0" layoutInCell="1" allowOverlap="1" wp14:anchorId="746D76A2" wp14:editId="74265A64">
            <wp:simplePos x="0" y="0"/>
            <wp:positionH relativeFrom="column">
              <wp:posOffset>0</wp:posOffset>
            </wp:positionH>
            <wp:positionV relativeFrom="paragraph">
              <wp:posOffset>0</wp:posOffset>
            </wp:positionV>
            <wp:extent cx="8287385" cy="5943600"/>
            <wp:effectExtent l="0" t="0" r="0" b="0"/>
            <wp:wrapSquare wrapText="bothSides"/>
            <wp:docPr id="1021492604"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492604" name="Imagen 1" descr="Diagrama&#10;&#10;Descripción generada automáticamente"/>
                    <pic:cNvPicPr/>
                  </pic:nvPicPr>
                  <pic:blipFill>
                    <a:blip r:embed="rId27">
                      <a:extLst>
                        <a:ext uri="{28A0092B-C50C-407E-A947-70E740481C1C}">
                          <a14:useLocalDpi xmlns:a14="http://schemas.microsoft.com/office/drawing/2010/main" val="0"/>
                        </a:ext>
                      </a:extLst>
                    </a:blip>
                    <a:stretch>
                      <a:fillRect/>
                    </a:stretch>
                  </pic:blipFill>
                  <pic:spPr>
                    <a:xfrm>
                      <a:off x="0" y="0"/>
                      <a:ext cx="8287385" cy="5943600"/>
                    </a:xfrm>
                    <a:prstGeom prst="rect">
                      <a:avLst/>
                    </a:prstGeom>
                  </pic:spPr>
                </pic:pic>
              </a:graphicData>
            </a:graphic>
            <wp14:sizeRelH relativeFrom="page">
              <wp14:pctWidth>0</wp14:pctWidth>
            </wp14:sizeRelH>
            <wp14:sizeRelV relativeFrom="page">
              <wp14:pctHeight>0</wp14:pctHeight>
            </wp14:sizeRelV>
          </wp:anchor>
        </w:drawing>
      </w:r>
    </w:p>
    <w:p w14:paraId="3CCF3662" w14:textId="2F9FCE60" w:rsidR="00872A9E" w:rsidRDefault="007E5E87">
      <w:pPr>
        <w:rPr>
          <w:rFonts w:ascii="Times New Roman" w:hAnsi="Times New Roman"/>
          <w:szCs w:val="22"/>
          <w:lang w:val="es-ES_tradnl"/>
        </w:rPr>
      </w:pPr>
      <w:r w:rsidRPr="007E5E87">
        <w:rPr>
          <w:rFonts w:ascii="Times New Roman" w:hAnsi="Times New Roman"/>
          <w:noProof/>
          <w:szCs w:val="22"/>
          <w:lang w:val="es-ES_tradnl"/>
        </w:rPr>
        <w:lastRenderedPageBreak/>
        <w:drawing>
          <wp:inline distT="0" distB="0" distL="0" distR="0" wp14:anchorId="20BD05D4" wp14:editId="1353345E">
            <wp:extent cx="8278495" cy="5943600"/>
            <wp:effectExtent l="0" t="0" r="8255" b="0"/>
            <wp:docPr id="1036789847" name="Imagen 1"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789847" name="Imagen 1" descr="Diagrama, Dibujo de ingeniería&#10;&#10;Descripción generada automáticamente"/>
                    <pic:cNvPicPr/>
                  </pic:nvPicPr>
                  <pic:blipFill>
                    <a:blip r:embed="rId28"/>
                    <a:stretch>
                      <a:fillRect/>
                    </a:stretch>
                  </pic:blipFill>
                  <pic:spPr>
                    <a:xfrm>
                      <a:off x="0" y="0"/>
                      <a:ext cx="8278495" cy="5943600"/>
                    </a:xfrm>
                    <a:prstGeom prst="rect">
                      <a:avLst/>
                    </a:prstGeom>
                  </pic:spPr>
                </pic:pic>
              </a:graphicData>
            </a:graphic>
          </wp:inline>
        </w:drawing>
      </w:r>
    </w:p>
    <w:p w14:paraId="0DF58C5F" w14:textId="27BAC517" w:rsidR="00872A9E" w:rsidRDefault="002B03BA">
      <w:pPr>
        <w:rPr>
          <w:rFonts w:ascii="Times New Roman" w:hAnsi="Times New Roman"/>
          <w:szCs w:val="22"/>
          <w:lang w:val="es-ES_tradnl"/>
        </w:rPr>
      </w:pPr>
      <w:r w:rsidRPr="002B03BA">
        <w:rPr>
          <w:rFonts w:ascii="Times New Roman" w:hAnsi="Times New Roman"/>
          <w:noProof/>
          <w:szCs w:val="22"/>
          <w:lang w:val="es-ES_tradnl"/>
        </w:rPr>
        <w:lastRenderedPageBreak/>
        <w:drawing>
          <wp:anchor distT="0" distB="0" distL="114300" distR="114300" simplePos="0" relativeHeight="251675648" behindDoc="0" locked="0" layoutInCell="1" allowOverlap="1" wp14:anchorId="4327C06C" wp14:editId="034173C5">
            <wp:simplePos x="0" y="0"/>
            <wp:positionH relativeFrom="column">
              <wp:posOffset>0</wp:posOffset>
            </wp:positionH>
            <wp:positionV relativeFrom="paragraph">
              <wp:posOffset>0</wp:posOffset>
            </wp:positionV>
            <wp:extent cx="8274685" cy="5943600"/>
            <wp:effectExtent l="0" t="0" r="0" b="0"/>
            <wp:wrapSquare wrapText="bothSides"/>
            <wp:docPr id="2074406327" name="Imagen 1"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406327" name="Imagen 1" descr="Texto&#10;&#10;Descripción generada automáticamente con confianza media"/>
                    <pic:cNvPicPr/>
                  </pic:nvPicPr>
                  <pic:blipFill>
                    <a:blip r:embed="rId29">
                      <a:extLst>
                        <a:ext uri="{28A0092B-C50C-407E-A947-70E740481C1C}">
                          <a14:useLocalDpi xmlns:a14="http://schemas.microsoft.com/office/drawing/2010/main" val="0"/>
                        </a:ext>
                      </a:extLst>
                    </a:blip>
                    <a:stretch>
                      <a:fillRect/>
                    </a:stretch>
                  </pic:blipFill>
                  <pic:spPr>
                    <a:xfrm>
                      <a:off x="0" y="0"/>
                      <a:ext cx="8274685" cy="5943600"/>
                    </a:xfrm>
                    <a:prstGeom prst="rect">
                      <a:avLst/>
                    </a:prstGeom>
                  </pic:spPr>
                </pic:pic>
              </a:graphicData>
            </a:graphic>
            <wp14:sizeRelH relativeFrom="page">
              <wp14:pctWidth>0</wp14:pctWidth>
            </wp14:sizeRelH>
            <wp14:sizeRelV relativeFrom="page">
              <wp14:pctHeight>0</wp14:pctHeight>
            </wp14:sizeRelV>
          </wp:anchor>
        </w:drawing>
      </w:r>
    </w:p>
    <w:p w14:paraId="28A497AA" w14:textId="5B8CCC90" w:rsidR="00872A9E" w:rsidRDefault="00F1635E">
      <w:pPr>
        <w:rPr>
          <w:rFonts w:ascii="Times New Roman" w:hAnsi="Times New Roman"/>
          <w:szCs w:val="22"/>
          <w:lang w:val="es-ES_tradnl"/>
        </w:rPr>
      </w:pPr>
      <w:r w:rsidRPr="00F1635E">
        <w:rPr>
          <w:rFonts w:ascii="Times New Roman" w:hAnsi="Times New Roman"/>
          <w:noProof/>
          <w:szCs w:val="22"/>
          <w:lang w:val="es-ES_tradnl"/>
        </w:rPr>
        <w:lastRenderedPageBreak/>
        <w:drawing>
          <wp:anchor distT="0" distB="0" distL="114300" distR="114300" simplePos="0" relativeHeight="251676672" behindDoc="0" locked="0" layoutInCell="1" allowOverlap="1" wp14:anchorId="4390A679" wp14:editId="618BB030">
            <wp:simplePos x="0" y="0"/>
            <wp:positionH relativeFrom="column">
              <wp:posOffset>0</wp:posOffset>
            </wp:positionH>
            <wp:positionV relativeFrom="paragraph">
              <wp:posOffset>0</wp:posOffset>
            </wp:positionV>
            <wp:extent cx="8278495" cy="5943600"/>
            <wp:effectExtent l="0" t="0" r="8255" b="0"/>
            <wp:wrapSquare wrapText="bothSides"/>
            <wp:docPr id="331964510" name="Imagen 1" descr="Diagrama, Dibujo de ingenierí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964510" name="Imagen 1" descr="Diagrama, Dibujo de ingeniería, Esquemático&#10;&#10;Descripción generada automáticamente"/>
                    <pic:cNvPicPr/>
                  </pic:nvPicPr>
                  <pic:blipFill>
                    <a:blip r:embed="rId30">
                      <a:extLst>
                        <a:ext uri="{28A0092B-C50C-407E-A947-70E740481C1C}">
                          <a14:useLocalDpi xmlns:a14="http://schemas.microsoft.com/office/drawing/2010/main" val="0"/>
                        </a:ext>
                      </a:extLst>
                    </a:blip>
                    <a:stretch>
                      <a:fillRect/>
                    </a:stretch>
                  </pic:blipFill>
                  <pic:spPr>
                    <a:xfrm>
                      <a:off x="0" y="0"/>
                      <a:ext cx="8278495" cy="5943600"/>
                    </a:xfrm>
                    <a:prstGeom prst="rect">
                      <a:avLst/>
                    </a:prstGeom>
                  </pic:spPr>
                </pic:pic>
              </a:graphicData>
            </a:graphic>
            <wp14:sizeRelH relativeFrom="page">
              <wp14:pctWidth>0</wp14:pctWidth>
            </wp14:sizeRelH>
            <wp14:sizeRelV relativeFrom="page">
              <wp14:pctHeight>0</wp14:pctHeight>
            </wp14:sizeRelV>
          </wp:anchor>
        </w:drawing>
      </w:r>
    </w:p>
    <w:p w14:paraId="3E00764A" w14:textId="2CEE7F8B" w:rsidR="00872A9E" w:rsidRDefault="00F1635E">
      <w:pPr>
        <w:rPr>
          <w:rFonts w:ascii="Times New Roman" w:hAnsi="Times New Roman"/>
          <w:szCs w:val="22"/>
          <w:lang w:val="es-ES_tradnl"/>
        </w:rPr>
      </w:pPr>
      <w:r w:rsidRPr="00F1635E">
        <w:rPr>
          <w:rFonts w:ascii="Times New Roman" w:hAnsi="Times New Roman"/>
          <w:noProof/>
          <w:szCs w:val="22"/>
          <w:lang w:val="es-ES_tradnl"/>
        </w:rPr>
        <w:lastRenderedPageBreak/>
        <w:drawing>
          <wp:anchor distT="0" distB="0" distL="114300" distR="114300" simplePos="0" relativeHeight="251677696" behindDoc="0" locked="0" layoutInCell="1" allowOverlap="1" wp14:anchorId="549FBA68" wp14:editId="0DF9DA53">
            <wp:simplePos x="0" y="0"/>
            <wp:positionH relativeFrom="column">
              <wp:posOffset>0</wp:posOffset>
            </wp:positionH>
            <wp:positionV relativeFrom="paragraph">
              <wp:posOffset>0</wp:posOffset>
            </wp:positionV>
            <wp:extent cx="8278495" cy="5943600"/>
            <wp:effectExtent l="0" t="0" r="8255" b="0"/>
            <wp:wrapSquare wrapText="bothSides"/>
            <wp:docPr id="1572671726" name="Imagen 1"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671726" name="Imagen 1" descr="Diagrama, Dibujo de ingeniería&#10;&#10;Descripción generada automáticamente"/>
                    <pic:cNvPicPr/>
                  </pic:nvPicPr>
                  <pic:blipFill>
                    <a:blip r:embed="rId31">
                      <a:extLst>
                        <a:ext uri="{28A0092B-C50C-407E-A947-70E740481C1C}">
                          <a14:useLocalDpi xmlns:a14="http://schemas.microsoft.com/office/drawing/2010/main" val="0"/>
                        </a:ext>
                      </a:extLst>
                    </a:blip>
                    <a:stretch>
                      <a:fillRect/>
                    </a:stretch>
                  </pic:blipFill>
                  <pic:spPr>
                    <a:xfrm>
                      <a:off x="0" y="0"/>
                      <a:ext cx="8278495" cy="5943600"/>
                    </a:xfrm>
                    <a:prstGeom prst="rect">
                      <a:avLst/>
                    </a:prstGeom>
                  </pic:spPr>
                </pic:pic>
              </a:graphicData>
            </a:graphic>
            <wp14:sizeRelH relativeFrom="page">
              <wp14:pctWidth>0</wp14:pctWidth>
            </wp14:sizeRelH>
            <wp14:sizeRelV relativeFrom="page">
              <wp14:pctHeight>0</wp14:pctHeight>
            </wp14:sizeRelV>
          </wp:anchor>
        </w:drawing>
      </w:r>
    </w:p>
    <w:p w14:paraId="0F152AF8" w14:textId="5B3E1717" w:rsidR="00872A9E" w:rsidRDefault="00EF3F76">
      <w:pPr>
        <w:rPr>
          <w:rFonts w:ascii="Times New Roman" w:hAnsi="Times New Roman"/>
          <w:szCs w:val="22"/>
          <w:lang w:val="es-ES_tradnl"/>
        </w:rPr>
      </w:pPr>
      <w:r w:rsidRPr="00EF3F76">
        <w:rPr>
          <w:rFonts w:ascii="Times New Roman" w:hAnsi="Times New Roman"/>
          <w:noProof/>
          <w:szCs w:val="22"/>
          <w:lang w:val="es-ES_tradnl"/>
        </w:rPr>
        <w:lastRenderedPageBreak/>
        <w:drawing>
          <wp:anchor distT="0" distB="0" distL="114300" distR="114300" simplePos="0" relativeHeight="251678720" behindDoc="0" locked="0" layoutInCell="1" allowOverlap="1" wp14:anchorId="7808C0F7" wp14:editId="5F760A0B">
            <wp:simplePos x="0" y="0"/>
            <wp:positionH relativeFrom="column">
              <wp:posOffset>0</wp:posOffset>
            </wp:positionH>
            <wp:positionV relativeFrom="paragraph">
              <wp:posOffset>0</wp:posOffset>
            </wp:positionV>
            <wp:extent cx="8281035" cy="5943600"/>
            <wp:effectExtent l="0" t="0" r="5715" b="0"/>
            <wp:wrapSquare wrapText="bothSides"/>
            <wp:docPr id="49885344" name="Imagen 1"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85344" name="Imagen 1" descr="Diagrama, Dibujo de ingeniería&#10;&#10;Descripción generada automáticamente"/>
                    <pic:cNvPicPr/>
                  </pic:nvPicPr>
                  <pic:blipFill>
                    <a:blip r:embed="rId32">
                      <a:extLst>
                        <a:ext uri="{28A0092B-C50C-407E-A947-70E740481C1C}">
                          <a14:useLocalDpi xmlns:a14="http://schemas.microsoft.com/office/drawing/2010/main" val="0"/>
                        </a:ext>
                      </a:extLst>
                    </a:blip>
                    <a:stretch>
                      <a:fillRect/>
                    </a:stretch>
                  </pic:blipFill>
                  <pic:spPr>
                    <a:xfrm>
                      <a:off x="0" y="0"/>
                      <a:ext cx="8281035" cy="5943600"/>
                    </a:xfrm>
                    <a:prstGeom prst="rect">
                      <a:avLst/>
                    </a:prstGeom>
                  </pic:spPr>
                </pic:pic>
              </a:graphicData>
            </a:graphic>
            <wp14:sizeRelH relativeFrom="page">
              <wp14:pctWidth>0</wp14:pctWidth>
            </wp14:sizeRelH>
            <wp14:sizeRelV relativeFrom="page">
              <wp14:pctHeight>0</wp14:pctHeight>
            </wp14:sizeRelV>
          </wp:anchor>
        </w:drawing>
      </w:r>
    </w:p>
    <w:p w14:paraId="32CA5D66" w14:textId="13597E1D" w:rsidR="00872A9E" w:rsidRDefault="001868CF">
      <w:pPr>
        <w:rPr>
          <w:rFonts w:ascii="Times New Roman" w:hAnsi="Times New Roman"/>
          <w:szCs w:val="22"/>
          <w:lang w:val="es-ES_tradnl"/>
        </w:rPr>
      </w:pPr>
      <w:r w:rsidRPr="001868CF">
        <w:rPr>
          <w:rFonts w:ascii="Times New Roman" w:hAnsi="Times New Roman"/>
          <w:noProof/>
          <w:szCs w:val="22"/>
          <w:lang w:val="es-ES_tradnl"/>
        </w:rPr>
        <w:lastRenderedPageBreak/>
        <w:drawing>
          <wp:anchor distT="0" distB="0" distL="114300" distR="114300" simplePos="0" relativeHeight="251679744" behindDoc="0" locked="0" layoutInCell="1" allowOverlap="1" wp14:anchorId="6B47DB3A" wp14:editId="3B225C0A">
            <wp:simplePos x="0" y="0"/>
            <wp:positionH relativeFrom="column">
              <wp:posOffset>0</wp:posOffset>
            </wp:positionH>
            <wp:positionV relativeFrom="paragraph">
              <wp:posOffset>0</wp:posOffset>
            </wp:positionV>
            <wp:extent cx="8289925" cy="5943600"/>
            <wp:effectExtent l="0" t="0" r="0" b="0"/>
            <wp:wrapSquare wrapText="bothSides"/>
            <wp:docPr id="750801434" name="Imagen 1"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801434" name="Imagen 1" descr="Diagrama, Dibujo de ingeniería&#10;&#10;Descripción generada automáticamente"/>
                    <pic:cNvPicPr/>
                  </pic:nvPicPr>
                  <pic:blipFill>
                    <a:blip r:embed="rId33">
                      <a:extLst>
                        <a:ext uri="{28A0092B-C50C-407E-A947-70E740481C1C}">
                          <a14:useLocalDpi xmlns:a14="http://schemas.microsoft.com/office/drawing/2010/main" val="0"/>
                        </a:ext>
                      </a:extLst>
                    </a:blip>
                    <a:stretch>
                      <a:fillRect/>
                    </a:stretch>
                  </pic:blipFill>
                  <pic:spPr>
                    <a:xfrm>
                      <a:off x="0" y="0"/>
                      <a:ext cx="8289925" cy="5943600"/>
                    </a:xfrm>
                    <a:prstGeom prst="rect">
                      <a:avLst/>
                    </a:prstGeom>
                  </pic:spPr>
                </pic:pic>
              </a:graphicData>
            </a:graphic>
            <wp14:sizeRelH relativeFrom="page">
              <wp14:pctWidth>0</wp14:pctWidth>
            </wp14:sizeRelH>
            <wp14:sizeRelV relativeFrom="page">
              <wp14:pctHeight>0</wp14:pctHeight>
            </wp14:sizeRelV>
          </wp:anchor>
        </w:drawing>
      </w:r>
    </w:p>
    <w:p w14:paraId="4ACECF92" w14:textId="7CDA79EE" w:rsidR="00872A9E" w:rsidRDefault="001868CF">
      <w:pPr>
        <w:rPr>
          <w:rFonts w:ascii="Times New Roman" w:hAnsi="Times New Roman"/>
          <w:szCs w:val="22"/>
          <w:lang w:val="es-ES_tradnl"/>
        </w:rPr>
      </w:pPr>
      <w:r w:rsidRPr="001868CF">
        <w:rPr>
          <w:rFonts w:ascii="Times New Roman" w:hAnsi="Times New Roman"/>
          <w:noProof/>
          <w:szCs w:val="22"/>
          <w:lang w:val="es-ES_tradnl"/>
        </w:rPr>
        <w:lastRenderedPageBreak/>
        <w:drawing>
          <wp:anchor distT="0" distB="0" distL="114300" distR="114300" simplePos="0" relativeHeight="251680768" behindDoc="0" locked="0" layoutInCell="1" allowOverlap="1" wp14:anchorId="64848EE1" wp14:editId="62770D99">
            <wp:simplePos x="0" y="0"/>
            <wp:positionH relativeFrom="column">
              <wp:posOffset>0</wp:posOffset>
            </wp:positionH>
            <wp:positionV relativeFrom="paragraph">
              <wp:posOffset>0</wp:posOffset>
            </wp:positionV>
            <wp:extent cx="8281035" cy="5943600"/>
            <wp:effectExtent l="0" t="0" r="5715" b="0"/>
            <wp:wrapSquare wrapText="bothSides"/>
            <wp:docPr id="1529098688" name="Imagen 1"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098688" name="Imagen 1" descr="Diagrama, Dibujo de ingeniería&#10;&#10;Descripción generada automáticamente"/>
                    <pic:cNvPicPr/>
                  </pic:nvPicPr>
                  <pic:blipFill>
                    <a:blip r:embed="rId34">
                      <a:extLst>
                        <a:ext uri="{28A0092B-C50C-407E-A947-70E740481C1C}">
                          <a14:useLocalDpi xmlns:a14="http://schemas.microsoft.com/office/drawing/2010/main" val="0"/>
                        </a:ext>
                      </a:extLst>
                    </a:blip>
                    <a:stretch>
                      <a:fillRect/>
                    </a:stretch>
                  </pic:blipFill>
                  <pic:spPr>
                    <a:xfrm>
                      <a:off x="0" y="0"/>
                      <a:ext cx="8281035" cy="5943600"/>
                    </a:xfrm>
                    <a:prstGeom prst="rect">
                      <a:avLst/>
                    </a:prstGeom>
                  </pic:spPr>
                </pic:pic>
              </a:graphicData>
            </a:graphic>
            <wp14:sizeRelH relativeFrom="page">
              <wp14:pctWidth>0</wp14:pctWidth>
            </wp14:sizeRelH>
            <wp14:sizeRelV relativeFrom="page">
              <wp14:pctHeight>0</wp14:pctHeight>
            </wp14:sizeRelV>
          </wp:anchor>
        </w:drawing>
      </w:r>
    </w:p>
    <w:p w14:paraId="7AECCFF1" w14:textId="0BDDE595" w:rsidR="00872A9E" w:rsidRDefault="009B1A7C">
      <w:pPr>
        <w:rPr>
          <w:rFonts w:ascii="Times New Roman" w:hAnsi="Times New Roman"/>
          <w:szCs w:val="22"/>
          <w:lang w:val="es-ES_tradnl"/>
        </w:rPr>
      </w:pPr>
      <w:r w:rsidRPr="009B1A7C">
        <w:rPr>
          <w:rFonts w:ascii="Times New Roman" w:hAnsi="Times New Roman"/>
          <w:noProof/>
          <w:szCs w:val="22"/>
          <w:lang w:val="es-ES_tradnl"/>
        </w:rPr>
        <w:lastRenderedPageBreak/>
        <w:drawing>
          <wp:inline distT="0" distB="0" distL="0" distR="0" wp14:anchorId="3364C879" wp14:editId="06E52CE4">
            <wp:extent cx="8281035" cy="5943600"/>
            <wp:effectExtent l="0" t="0" r="5715" b="0"/>
            <wp:docPr id="461153229"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153229" name="Imagen 1" descr="Texto&#10;&#10;Descripción generada automáticamente"/>
                    <pic:cNvPicPr/>
                  </pic:nvPicPr>
                  <pic:blipFill>
                    <a:blip r:embed="rId35"/>
                    <a:stretch>
                      <a:fillRect/>
                    </a:stretch>
                  </pic:blipFill>
                  <pic:spPr>
                    <a:xfrm>
                      <a:off x="0" y="0"/>
                      <a:ext cx="8281035" cy="5943600"/>
                    </a:xfrm>
                    <a:prstGeom prst="rect">
                      <a:avLst/>
                    </a:prstGeom>
                  </pic:spPr>
                </pic:pic>
              </a:graphicData>
            </a:graphic>
          </wp:inline>
        </w:drawing>
      </w:r>
    </w:p>
    <w:sectPr w:rsidR="00872A9E" w:rsidSect="00C32F2C">
      <w:pgSz w:w="15840" w:h="12240" w:orient="landscape"/>
      <w:pgMar w:top="1440" w:right="992"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C21076" w14:textId="77777777" w:rsidR="00DE6478" w:rsidRDefault="00DE6478" w:rsidP="00F0016E">
      <w:r>
        <w:separator/>
      </w:r>
    </w:p>
  </w:endnote>
  <w:endnote w:type="continuationSeparator" w:id="0">
    <w:p w14:paraId="43E28F4D" w14:textId="77777777" w:rsidR="00DE6478" w:rsidRDefault="00DE6478" w:rsidP="00F001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8283230"/>
      <w:docPartObj>
        <w:docPartGallery w:val="Page Numbers (Bottom of Page)"/>
        <w:docPartUnique/>
      </w:docPartObj>
    </w:sdtPr>
    <w:sdtEndPr>
      <w:rPr>
        <w:noProof/>
      </w:rPr>
    </w:sdtEndPr>
    <w:sdtContent>
      <w:p w14:paraId="7E2DDE4E" w14:textId="2D0BEA80" w:rsidR="00280CED" w:rsidRDefault="00280CED">
        <w:pPr>
          <w:pStyle w:val="Piedepgina"/>
          <w:jc w:val="right"/>
        </w:pPr>
        <w:r w:rsidRPr="0078647A">
          <w:rPr>
            <w:rFonts w:ascii="Times New Roman" w:hAnsi="Times New Roman"/>
            <w:color w:val="auto"/>
          </w:rPr>
          <w:fldChar w:fldCharType="begin"/>
        </w:r>
        <w:r w:rsidRPr="0078647A">
          <w:rPr>
            <w:rFonts w:ascii="Times New Roman" w:hAnsi="Times New Roman"/>
            <w:color w:val="auto"/>
          </w:rPr>
          <w:instrText xml:space="preserve"> PAGE   \* MERGEFORMAT </w:instrText>
        </w:r>
        <w:r w:rsidRPr="0078647A">
          <w:rPr>
            <w:rFonts w:ascii="Times New Roman" w:hAnsi="Times New Roman"/>
            <w:color w:val="auto"/>
          </w:rPr>
          <w:fldChar w:fldCharType="separate"/>
        </w:r>
        <w:r w:rsidRPr="0078647A">
          <w:rPr>
            <w:rFonts w:ascii="Times New Roman" w:hAnsi="Times New Roman"/>
            <w:noProof/>
            <w:color w:val="auto"/>
          </w:rPr>
          <w:t>2</w:t>
        </w:r>
        <w:r w:rsidRPr="0078647A">
          <w:rPr>
            <w:rFonts w:ascii="Times New Roman" w:hAnsi="Times New Roman"/>
            <w:noProof/>
            <w:color w:val="auto"/>
          </w:rPr>
          <w:fldChar w:fldCharType="end"/>
        </w:r>
      </w:p>
    </w:sdtContent>
  </w:sdt>
  <w:p w14:paraId="1B95FCF1" w14:textId="77777777" w:rsidR="00280CED" w:rsidRDefault="00280CED">
    <w:pPr>
      <w:pStyle w:val="Piedepgina"/>
    </w:pPr>
  </w:p>
  <w:p w14:paraId="6A9C0A08" w14:textId="77777777" w:rsidR="00CC45AE" w:rsidRDefault="00CC45A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DDCB32" w14:textId="77777777" w:rsidR="00DE6478" w:rsidRDefault="00DE6478" w:rsidP="00F0016E">
      <w:r>
        <w:separator/>
      </w:r>
    </w:p>
  </w:footnote>
  <w:footnote w:type="continuationSeparator" w:id="0">
    <w:p w14:paraId="4FA1BFC8" w14:textId="77777777" w:rsidR="00DE6478" w:rsidRDefault="00DE6478" w:rsidP="00F0016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1A26E3"/>
    <w:multiLevelType w:val="hybridMultilevel"/>
    <w:tmpl w:val="559477F6"/>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287B2F4A"/>
    <w:multiLevelType w:val="multilevel"/>
    <w:tmpl w:val="65004E8A"/>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302C31E8"/>
    <w:multiLevelType w:val="hybridMultilevel"/>
    <w:tmpl w:val="7C404872"/>
    <w:lvl w:ilvl="0" w:tplc="0409000F">
      <w:start w:val="1"/>
      <w:numFmt w:val="decimal"/>
      <w:lvlText w:val="%1."/>
      <w:lvlJc w:val="left"/>
      <w:pPr>
        <w:ind w:left="1080" w:hanging="360"/>
      </w:p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3" w15:restartNumberingAfterBreak="0">
    <w:nsid w:val="364C391E"/>
    <w:multiLevelType w:val="hybridMultilevel"/>
    <w:tmpl w:val="5254F9B8"/>
    <w:lvl w:ilvl="0" w:tplc="52AE3F4C">
      <w:start w:val="1"/>
      <w:numFmt w:val="lowerLetter"/>
      <w:lvlText w:val="(%1)"/>
      <w:lvlJc w:val="left"/>
      <w:pPr>
        <w:ind w:left="1260" w:hanging="360"/>
      </w:pPr>
      <w:rPr>
        <w:b w:val="0"/>
        <w:bCs/>
      </w:rPr>
    </w:lvl>
    <w:lvl w:ilvl="1" w:tplc="C61C9818">
      <w:start w:val="1"/>
      <w:numFmt w:val="lowerLetter"/>
      <w:lvlText w:val="%2."/>
      <w:lvlJc w:val="left"/>
      <w:pPr>
        <w:ind w:left="1980" w:hanging="360"/>
      </w:pPr>
    </w:lvl>
    <w:lvl w:ilvl="2" w:tplc="691A84EE">
      <w:start w:val="1"/>
      <w:numFmt w:val="lowerRoman"/>
      <w:lvlText w:val="%3."/>
      <w:lvlJc w:val="right"/>
      <w:pPr>
        <w:ind w:left="2700" w:hanging="180"/>
      </w:pPr>
    </w:lvl>
    <w:lvl w:ilvl="3" w:tplc="089CA958">
      <w:start w:val="1"/>
      <w:numFmt w:val="decimal"/>
      <w:lvlText w:val="%4."/>
      <w:lvlJc w:val="left"/>
      <w:pPr>
        <w:ind w:left="3420" w:hanging="360"/>
      </w:pPr>
    </w:lvl>
    <w:lvl w:ilvl="4" w:tplc="3A425EF2">
      <w:start w:val="1"/>
      <w:numFmt w:val="lowerLetter"/>
      <w:lvlText w:val="%5."/>
      <w:lvlJc w:val="left"/>
      <w:pPr>
        <w:ind w:left="4140" w:hanging="360"/>
      </w:pPr>
    </w:lvl>
    <w:lvl w:ilvl="5" w:tplc="FE3AB654">
      <w:start w:val="1"/>
      <w:numFmt w:val="lowerRoman"/>
      <w:lvlText w:val="%6."/>
      <w:lvlJc w:val="right"/>
      <w:pPr>
        <w:ind w:left="4860" w:hanging="180"/>
      </w:pPr>
    </w:lvl>
    <w:lvl w:ilvl="6" w:tplc="67443092">
      <w:start w:val="1"/>
      <w:numFmt w:val="decimal"/>
      <w:lvlText w:val="%7."/>
      <w:lvlJc w:val="left"/>
      <w:pPr>
        <w:ind w:left="5580" w:hanging="360"/>
      </w:pPr>
    </w:lvl>
    <w:lvl w:ilvl="7" w:tplc="BED0C0D2">
      <w:start w:val="1"/>
      <w:numFmt w:val="lowerLetter"/>
      <w:lvlText w:val="%8."/>
      <w:lvlJc w:val="left"/>
      <w:pPr>
        <w:ind w:left="6300" w:hanging="360"/>
      </w:pPr>
    </w:lvl>
    <w:lvl w:ilvl="8" w:tplc="DAE87830">
      <w:start w:val="1"/>
      <w:numFmt w:val="lowerRoman"/>
      <w:lvlText w:val="%9."/>
      <w:lvlJc w:val="right"/>
      <w:pPr>
        <w:ind w:left="7020" w:hanging="180"/>
      </w:pPr>
    </w:lvl>
  </w:abstractNum>
  <w:abstractNum w:abstractNumId="4" w15:restartNumberingAfterBreak="0">
    <w:nsid w:val="3A7608C6"/>
    <w:multiLevelType w:val="hybridMultilevel"/>
    <w:tmpl w:val="83747F0A"/>
    <w:lvl w:ilvl="0" w:tplc="52AE3F4C">
      <w:start w:val="1"/>
      <w:numFmt w:val="lowerLetter"/>
      <w:lvlText w:val="(%1)"/>
      <w:lvlJc w:val="left"/>
      <w:pPr>
        <w:ind w:left="1260" w:hanging="360"/>
      </w:pPr>
      <w:rPr>
        <w:b w:val="0"/>
        <w:bCs/>
      </w:rPr>
    </w:lvl>
    <w:lvl w:ilvl="1" w:tplc="100A0019" w:tentative="1">
      <w:start w:val="1"/>
      <w:numFmt w:val="lowerLetter"/>
      <w:lvlText w:val="%2."/>
      <w:lvlJc w:val="left"/>
      <w:pPr>
        <w:ind w:left="1980" w:hanging="360"/>
      </w:pPr>
    </w:lvl>
    <w:lvl w:ilvl="2" w:tplc="100A001B" w:tentative="1">
      <w:start w:val="1"/>
      <w:numFmt w:val="lowerRoman"/>
      <w:lvlText w:val="%3."/>
      <w:lvlJc w:val="right"/>
      <w:pPr>
        <w:ind w:left="2700" w:hanging="180"/>
      </w:pPr>
    </w:lvl>
    <w:lvl w:ilvl="3" w:tplc="100A000F" w:tentative="1">
      <w:start w:val="1"/>
      <w:numFmt w:val="decimal"/>
      <w:lvlText w:val="%4."/>
      <w:lvlJc w:val="left"/>
      <w:pPr>
        <w:ind w:left="3420" w:hanging="360"/>
      </w:pPr>
    </w:lvl>
    <w:lvl w:ilvl="4" w:tplc="100A0019" w:tentative="1">
      <w:start w:val="1"/>
      <w:numFmt w:val="lowerLetter"/>
      <w:lvlText w:val="%5."/>
      <w:lvlJc w:val="left"/>
      <w:pPr>
        <w:ind w:left="4140" w:hanging="360"/>
      </w:pPr>
    </w:lvl>
    <w:lvl w:ilvl="5" w:tplc="100A001B" w:tentative="1">
      <w:start w:val="1"/>
      <w:numFmt w:val="lowerRoman"/>
      <w:lvlText w:val="%6."/>
      <w:lvlJc w:val="right"/>
      <w:pPr>
        <w:ind w:left="4860" w:hanging="180"/>
      </w:pPr>
    </w:lvl>
    <w:lvl w:ilvl="6" w:tplc="100A000F" w:tentative="1">
      <w:start w:val="1"/>
      <w:numFmt w:val="decimal"/>
      <w:lvlText w:val="%7."/>
      <w:lvlJc w:val="left"/>
      <w:pPr>
        <w:ind w:left="5580" w:hanging="360"/>
      </w:pPr>
    </w:lvl>
    <w:lvl w:ilvl="7" w:tplc="100A0019" w:tentative="1">
      <w:start w:val="1"/>
      <w:numFmt w:val="lowerLetter"/>
      <w:lvlText w:val="%8."/>
      <w:lvlJc w:val="left"/>
      <w:pPr>
        <w:ind w:left="6300" w:hanging="360"/>
      </w:pPr>
    </w:lvl>
    <w:lvl w:ilvl="8" w:tplc="100A001B" w:tentative="1">
      <w:start w:val="1"/>
      <w:numFmt w:val="lowerRoman"/>
      <w:lvlText w:val="%9."/>
      <w:lvlJc w:val="right"/>
      <w:pPr>
        <w:ind w:left="7020" w:hanging="180"/>
      </w:pPr>
    </w:lvl>
  </w:abstractNum>
  <w:abstractNum w:abstractNumId="5" w15:restartNumberingAfterBreak="0">
    <w:nsid w:val="3F55537B"/>
    <w:multiLevelType w:val="hybridMultilevel"/>
    <w:tmpl w:val="AFD88EB0"/>
    <w:lvl w:ilvl="0" w:tplc="52AE3F4C">
      <w:start w:val="1"/>
      <w:numFmt w:val="lowerLetter"/>
      <w:lvlText w:val="(%1)"/>
      <w:lvlJc w:val="left"/>
      <w:pPr>
        <w:ind w:left="1170" w:hanging="360"/>
      </w:pPr>
      <w:rPr>
        <w:b w:val="0"/>
        <w:bCs/>
      </w:rPr>
    </w:lvl>
    <w:lvl w:ilvl="1" w:tplc="100A0019" w:tentative="1">
      <w:start w:val="1"/>
      <w:numFmt w:val="lowerLetter"/>
      <w:lvlText w:val="%2."/>
      <w:lvlJc w:val="left"/>
      <w:pPr>
        <w:ind w:left="1890" w:hanging="360"/>
      </w:pPr>
    </w:lvl>
    <w:lvl w:ilvl="2" w:tplc="100A001B" w:tentative="1">
      <w:start w:val="1"/>
      <w:numFmt w:val="lowerRoman"/>
      <w:lvlText w:val="%3."/>
      <w:lvlJc w:val="right"/>
      <w:pPr>
        <w:ind w:left="2610" w:hanging="180"/>
      </w:pPr>
    </w:lvl>
    <w:lvl w:ilvl="3" w:tplc="100A000F" w:tentative="1">
      <w:start w:val="1"/>
      <w:numFmt w:val="decimal"/>
      <w:lvlText w:val="%4."/>
      <w:lvlJc w:val="left"/>
      <w:pPr>
        <w:ind w:left="3330" w:hanging="360"/>
      </w:pPr>
    </w:lvl>
    <w:lvl w:ilvl="4" w:tplc="100A0019" w:tentative="1">
      <w:start w:val="1"/>
      <w:numFmt w:val="lowerLetter"/>
      <w:lvlText w:val="%5."/>
      <w:lvlJc w:val="left"/>
      <w:pPr>
        <w:ind w:left="4050" w:hanging="360"/>
      </w:pPr>
    </w:lvl>
    <w:lvl w:ilvl="5" w:tplc="100A001B" w:tentative="1">
      <w:start w:val="1"/>
      <w:numFmt w:val="lowerRoman"/>
      <w:lvlText w:val="%6."/>
      <w:lvlJc w:val="right"/>
      <w:pPr>
        <w:ind w:left="4770" w:hanging="180"/>
      </w:pPr>
    </w:lvl>
    <w:lvl w:ilvl="6" w:tplc="100A000F" w:tentative="1">
      <w:start w:val="1"/>
      <w:numFmt w:val="decimal"/>
      <w:lvlText w:val="%7."/>
      <w:lvlJc w:val="left"/>
      <w:pPr>
        <w:ind w:left="5490" w:hanging="360"/>
      </w:pPr>
    </w:lvl>
    <w:lvl w:ilvl="7" w:tplc="100A0019" w:tentative="1">
      <w:start w:val="1"/>
      <w:numFmt w:val="lowerLetter"/>
      <w:lvlText w:val="%8."/>
      <w:lvlJc w:val="left"/>
      <w:pPr>
        <w:ind w:left="6210" w:hanging="360"/>
      </w:pPr>
    </w:lvl>
    <w:lvl w:ilvl="8" w:tplc="100A001B" w:tentative="1">
      <w:start w:val="1"/>
      <w:numFmt w:val="lowerRoman"/>
      <w:lvlText w:val="%9."/>
      <w:lvlJc w:val="right"/>
      <w:pPr>
        <w:ind w:left="6930" w:hanging="180"/>
      </w:pPr>
    </w:lvl>
  </w:abstractNum>
  <w:abstractNum w:abstractNumId="6" w15:restartNumberingAfterBreak="0">
    <w:nsid w:val="57FA6B4C"/>
    <w:multiLevelType w:val="hybridMultilevel"/>
    <w:tmpl w:val="1FC6792E"/>
    <w:lvl w:ilvl="0" w:tplc="52AE3F4C">
      <w:start w:val="1"/>
      <w:numFmt w:val="lowerLetter"/>
      <w:lvlText w:val="(%1)"/>
      <w:lvlJc w:val="left"/>
      <w:pPr>
        <w:ind w:left="1260" w:hanging="360"/>
      </w:pPr>
      <w:rPr>
        <w:b w:val="0"/>
        <w:bCs/>
      </w:rPr>
    </w:lvl>
    <w:lvl w:ilvl="1" w:tplc="100A0019" w:tentative="1">
      <w:start w:val="1"/>
      <w:numFmt w:val="lowerLetter"/>
      <w:lvlText w:val="%2."/>
      <w:lvlJc w:val="left"/>
      <w:pPr>
        <w:ind w:left="1980" w:hanging="360"/>
      </w:pPr>
    </w:lvl>
    <w:lvl w:ilvl="2" w:tplc="100A001B" w:tentative="1">
      <w:start w:val="1"/>
      <w:numFmt w:val="lowerRoman"/>
      <w:lvlText w:val="%3."/>
      <w:lvlJc w:val="right"/>
      <w:pPr>
        <w:ind w:left="2700" w:hanging="180"/>
      </w:pPr>
    </w:lvl>
    <w:lvl w:ilvl="3" w:tplc="100A000F" w:tentative="1">
      <w:start w:val="1"/>
      <w:numFmt w:val="decimal"/>
      <w:lvlText w:val="%4."/>
      <w:lvlJc w:val="left"/>
      <w:pPr>
        <w:ind w:left="3420" w:hanging="360"/>
      </w:pPr>
    </w:lvl>
    <w:lvl w:ilvl="4" w:tplc="100A0019" w:tentative="1">
      <w:start w:val="1"/>
      <w:numFmt w:val="lowerLetter"/>
      <w:lvlText w:val="%5."/>
      <w:lvlJc w:val="left"/>
      <w:pPr>
        <w:ind w:left="4140" w:hanging="360"/>
      </w:pPr>
    </w:lvl>
    <w:lvl w:ilvl="5" w:tplc="100A001B" w:tentative="1">
      <w:start w:val="1"/>
      <w:numFmt w:val="lowerRoman"/>
      <w:lvlText w:val="%6."/>
      <w:lvlJc w:val="right"/>
      <w:pPr>
        <w:ind w:left="4860" w:hanging="180"/>
      </w:pPr>
    </w:lvl>
    <w:lvl w:ilvl="6" w:tplc="100A000F" w:tentative="1">
      <w:start w:val="1"/>
      <w:numFmt w:val="decimal"/>
      <w:lvlText w:val="%7."/>
      <w:lvlJc w:val="left"/>
      <w:pPr>
        <w:ind w:left="5580" w:hanging="360"/>
      </w:pPr>
    </w:lvl>
    <w:lvl w:ilvl="7" w:tplc="100A0019" w:tentative="1">
      <w:start w:val="1"/>
      <w:numFmt w:val="lowerLetter"/>
      <w:lvlText w:val="%8."/>
      <w:lvlJc w:val="left"/>
      <w:pPr>
        <w:ind w:left="6300" w:hanging="360"/>
      </w:pPr>
    </w:lvl>
    <w:lvl w:ilvl="8" w:tplc="100A001B" w:tentative="1">
      <w:start w:val="1"/>
      <w:numFmt w:val="lowerRoman"/>
      <w:lvlText w:val="%9."/>
      <w:lvlJc w:val="right"/>
      <w:pPr>
        <w:ind w:left="7020" w:hanging="180"/>
      </w:pPr>
    </w:lvl>
  </w:abstractNum>
  <w:abstractNum w:abstractNumId="7" w15:restartNumberingAfterBreak="0">
    <w:nsid w:val="587965FB"/>
    <w:multiLevelType w:val="hybridMultilevel"/>
    <w:tmpl w:val="559477F6"/>
    <w:lvl w:ilvl="0" w:tplc="0409000F">
      <w:start w:val="1"/>
      <w:numFmt w:val="decimal"/>
      <w:lvlText w:val="%1."/>
      <w:lvlJc w:val="left"/>
      <w:pPr>
        <w:ind w:left="1080" w:hanging="360"/>
      </w:p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8" w15:restartNumberingAfterBreak="0">
    <w:nsid w:val="59C23D6D"/>
    <w:multiLevelType w:val="multilevel"/>
    <w:tmpl w:val="F27629FA"/>
    <w:lvl w:ilvl="0">
      <w:start w:val="1"/>
      <w:numFmt w:val="decimal"/>
      <w:lvlText w:val="%1."/>
      <w:lvlJc w:val="left"/>
      <w:pPr>
        <w:ind w:left="360" w:hanging="360"/>
      </w:pPr>
      <w:rPr>
        <w:rFonts w:hint="default"/>
        <w:b/>
        <w:bCs w:val="0"/>
        <w:i w:val="0"/>
        <w:color w:val="auto"/>
      </w:rPr>
    </w:lvl>
    <w:lvl w:ilvl="1">
      <w:start w:val="1"/>
      <w:numFmt w:val="decimal"/>
      <w:lvlText w:val="%1.%2."/>
      <w:lvlJc w:val="left"/>
      <w:pPr>
        <w:ind w:left="792" w:hanging="432"/>
      </w:pPr>
      <w:rPr>
        <w:rFonts w:hint="default"/>
        <w:b w:val="0"/>
        <w:bCs/>
        <w:color w:val="00000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AE30D88"/>
    <w:multiLevelType w:val="hybridMultilevel"/>
    <w:tmpl w:val="97481874"/>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 w15:restartNumberingAfterBreak="0">
    <w:nsid w:val="6CDD2C53"/>
    <w:multiLevelType w:val="hybridMultilevel"/>
    <w:tmpl w:val="8F703FD0"/>
    <w:lvl w:ilvl="0" w:tplc="15D86C84">
      <w:start w:val="7"/>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 w15:restartNumberingAfterBreak="0">
    <w:nsid w:val="7C4A69F4"/>
    <w:multiLevelType w:val="hybridMultilevel"/>
    <w:tmpl w:val="1E26052A"/>
    <w:lvl w:ilvl="0" w:tplc="84705452">
      <w:start w:val="1"/>
      <w:numFmt w:val="decimal"/>
      <w:lvlText w:val="%1."/>
      <w:lvlJc w:val="left"/>
      <w:pPr>
        <w:ind w:left="1080" w:hanging="360"/>
      </w:pPr>
      <w:rPr>
        <w:rFonts w:ascii="Calibri" w:eastAsia="Times New Roman" w:hAnsi="Calibri" w:cs="Calibri"/>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num w:numId="1">
    <w:abstractNumId w:val="8"/>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7"/>
  </w:num>
  <w:num w:numId="5">
    <w:abstractNumId w:val="11"/>
  </w:num>
  <w:num w:numId="6">
    <w:abstractNumId w:val="2"/>
  </w:num>
  <w:num w:numId="7">
    <w:abstractNumId w:val="0"/>
  </w:num>
  <w:num w:numId="8">
    <w:abstractNumId w:val="3"/>
  </w:num>
  <w:num w:numId="9">
    <w:abstractNumId w:val="4"/>
  </w:num>
  <w:num w:numId="10">
    <w:abstractNumId w:val="5"/>
  </w:num>
  <w:num w:numId="11">
    <w:abstractNumId w:val="6"/>
  </w:num>
  <w:num w:numId="12">
    <w:abstractNumId w:val="9"/>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016E"/>
    <w:rsid w:val="0001650F"/>
    <w:rsid w:val="00055B95"/>
    <w:rsid w:val="00086872"/>
    <w:rsid w:val="000B707D"/>
    <w:rsid w:val="00102023"/>
    <w:rsid w:val="0011443D"/>
    <w:rsid w:val="00164326"/>
    <w:rsid w:val="001868CF"/>
    <w:rsid w:val="001C559B"/>
    <w:rsid w:val="001E3E3C"/>
    <w:rsid w:val="001F7E63"/>
    <w:rsid w:val="00215636"/>
    <w:rsid w:val="00235313"/>
    <w:rsid w:val="0024231C"/>
    <w:rsid w:val="002470C2"/>
    <w:rsid w:val="00254E4D"/>
    <w:rsid w:val="00257394"/>
    <w:rsid w:val="00280CED"/>
    <w:rsid w:val="002B03BA"/>
    <w:rsid w:val="00304A73"/>
    <w:rsid w:val="00337005"/>
    <w:rsid w:val="00374ACE"/>
    <w:rsid w:val="00375117"/>
    <w:rsid w:val="00383B4B"/>
    <w:rsid w:val="003E34C3"/>
    <w:rsid w:val="003F6E3A"/>
    <w:rsid w:val="0041678D"/>
    <w:rsid w:val="00423EF6"/>
    <w:rsid w:val="004245A0"/>
    <w:rsid w:val="0044523F"/>
    <w:rsid w:val="00473840"/>
    <w:rsid w:val="004B29B1"/>
    <w:rsid w:val="004B342E"/>
    <w:rsid w:val="004F15F8"/>
    <w:rsid w:val="004F1CF1"/>
    <w:rsid w:val="004F723E"/>
    <w:rsid w:val="00506530"/>
    <w:rsid w:val="0050723A"/>
    <w:rsid w:val="005228B0"/>
    <w:rsid w:val="00576E57"/>
    <w:rsid w:val="00587B2C"/>
    <w:rsid w:val="00610D9E"/>
    <w:rsid w:val="00634DBA"/>
    <w:rsid w:val="00635143"/>
    <w:rsid w:val="006361A6"/>
    <w:rsid w:val="0064583D"/>
    <w:rsid w:val="00655190"/>
    <w:rsid w:val="006A1801"/>
    <w:rsid w:val="006A1DC1"/>
    <w:rsid w:val="006B057D"/>
    <w:rsid w:val="007373BA"/>
    <w:rsid w:val="00750A72"/>
    <w:rsid w:val="00760A3B"/>
    <w:rsid w:val="0078647A"/>
    <w:rsid w:val="00794107"/>
    <w:rsid w:val="007A60DA"/>
    <w:rsid w:val="007B1A82"/>
    <w:rsid w:val="007E5E87"/>
    <w:rsid w:val="007E6675"/>
    <w:rsid w:val="00866F32"/>
    <w:rsid w:val="00872A9E"/>
    <w:rsid w:val="0089315F"/>
    <w:rsid w:val="008B71B4"/>
    <w:rsid w:val="00903334"/>
    <w:rsid w:val="00924339"/>
    <w:rsid w:val="00942233"/>
    <w:rsid w:val="00956690"/>
    <w:rsid w:val="00960C3D"/>
    <w:rsid w:val="00973E60"/>
    <w:rsid w:val="009B1A7C"/>
    <w:rsid w:val="009B229C"/>
    <w:rsid w:val="009D0339"/>
    <w:rsid w:val="009E70BE"/>
    <w:rsid w:val="009E7FD3"/>
    <w:rsid w:val="00A0330E"/>
    <w:rsid w:val="00A27653"/>
    <w:rsid w:val="00A33DBB"/>
    <w:rsid w:val="00A628AB"/>
    <w:rsid w:val="00A637A7"/>
    <w:rsid w:val="00A64993"/>
    <w:rsid w:val="00A716D7"/>
    <w:rsid w:val="00AD55F4"/>
    <w:rsid w:val="00AE14DB"/>
    <w:rsid w:val="00AE7B7C"/>
    <w:rsid w:val="00B41D48"/>
    <w:rsid w:val="00B44A0F"/>
    <w:rsid w:val="00B56E7B"/>
    <w:rsid w:val="00B85261"/>
    <w:rsid w:val="00BC050F"/>
    <w:rsid w:val="00BC3EAD"/>
    <w:rsid w:val="00BC4667"/>
    <w:rsid w:val="00C173FB"/>
    <w:rsid w:val="00C30DAD"/>
    <w:rsid w:val="00C32F2C"/>
    <w:rsid w:val="00CC45AE"/>
    <w:rsid w:val="00CC4BB2"/>
    <w:rsid w:val="00CE12AF"/>
    <w:rsid w:val="00CE5FDF"/>
    <w:rsid w:val="00CF676A"/>
    <w:rsid w:val="00D00E6A"/>
    <w:rsid w:val="00D271CF"/>
    <w:rsid w:val="00D37638"/>
    <w:rsid w:val="00D54549"/>
    <w:rsid w:val="00D716BA"/>
    <w:rsid w:val="00D72319"/>
    <w:rsid w:val="00DE199D"/>
    <w:rsid w:val="00DE6478"/>
    <w:rsid w:val="00DE796C"/>
    <w:rsid w:val="00E0130D"/>
    <w:rsid w:val="00E75824"/>
    <w:rsid w:val="00EE2C35"/>
    <w:rsid w:val="00EE4DB5"/>
    <w:rsid w:val="00EF3F76"/>
    <w:rsid w:val="00F0016E"/>
    <w:rsid w:val="00F1635E"/>
    <w:rsid w:val="00F764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D9EA7E"/>
  <w15:chartTrackingRefBased/>
  <w15:docId w15:val="{A2CA8DA3-E4CE-44BE-8672-9AC2FA88C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16E"/>
    <w:pPr>
      <w:spacing w:after="0" w:line="240" w:lineRule="auto"/>
    </w:pPr>
    <w:rPr>
      <w:rFonts w:ascii="Arial" w:eastAsia="Times New Roman" w:hAnsi="Arial" w:cs="Times New Roman"/>
      <w:color w:val="00008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detextonormal">
    <w:name w:val="Body Text Indent"/>
    <w:basedOn w:val="Normal"/>
    <w:link w:val="SangradetextonormalCar"/>
    <w:rsid w:val="00F0016E"/>
    <w:pPr>
      <w:tabs>
        <w:tab w:val="left" w:pos="426"/>
      </w:tabs>
      <w:ind w:left="360"/>
    </w:pPr>
    <w:rPr>
      <w:snapToGrid w:val="0"/>
    </w:rPr>
  </w:style>
  <w:style w:type="character" w:customStyle="1" w:styleId="SangradetextonormalCar">
    <w:name w:val="Sangría de texto normal Car"/>
    <w:basedOn w:val="Fuentedeprrafopredeter"/>
    <w:link w:val="Sangradetextonormal"/>
    <w:rsid w:val="00F0016E"/>
    <w:rPr>
      <w:rFonts w:ascii="Arial" w:eastAsia="Times New Roman" w:hAnsi="Arial" w:cs="Times New Roman"/>
      <w:snapToGrid w:val="0"/>
      <w:color w:val="000080"/>
      <w:szCs w:val="20"/>
      <w:lang w:val="es-ES" w:eastAsia="es-ES"/>
    </w:rPr>
  </w:style>
  <w:style w:type="paragraph" w:styleId="Textoindependiente">
    <w:name w:val="Body Text"/>
    <w:basedOn w:val="Normal"/>
    <w:link w:val="TextoindependienteCar"/>
    <w:rsid w:val="00F0016E"/>
    <w:rPr>
      <w:color w:val="000000"/>
    </w:rPr>
  </w:style>
  <w:style w:type="character" w:customStyle="1" w:styleId="TextoindependienteCar">
    <w:name w:val="Texto independiente Car"/>
    <w:basedOn w:val="Fuentedeprrafopredeter"/>
    <w:link w:val="Textoindependiente"/>
    <w:rsid w:val="00F0016E"/>
    <w:rPr>
      <w:rFonts w:ascii="Arial" w:eastAsia="Times New Roman" w:hAnsi="Arial" w:cs="Times New Roman"/>
      <w:color w:val="000000"/>
      <w:szCs w:val="20"/>
      <w:lang w:val="es-ES" w:eastAsia="es-ES"/>
    </w:rPr>
  </w:style>
  <w:style w:type="paragraph" w:styleId="Sangra2detindependiente">
    <w:name w:val="Body Text Indent 2"/>
    <w:basedOn w:val="Normal"/>
    <w:link w:val="Sangra2detindependienteCar"/>
    <w:rsid w:val="00F0016E"/>
    <w:pPr>
      <w:ind w:left="360"/>
    </w:pPr>
    <w:rPr>
      <w:snapToGrid w:val="0"/>
      <w:color w:val="000000"/>
    </w:rPr>
  </w:style>
  <w:style w:type="character" w:customStyle="1" w:styleId="Sangra2detindependienteCar">
    <w:name w:val="Sangría 2 de t. independiente Car"/>
    <w:basedOn w:val="Fuentedeprrafopredeter"/>
    <w:link w:val="Sangra2detindependiente"/>
    <w:rsid w:val="00F0016E"/>
    <w:rPr>
      <w:rFonts w:ascii="Arial" w:eastAsia="Times New Roman" w:hAnsi="Arial" w:cs="Times New Roman"/>
      <w:snapToGrid w:val="0"/>
      <w:color w:val="000000"/>
      <w:szCs w:val="20"/>
      <w:lang w:val="es-ES" w:eastAsia="es-ES"/>
    </w:rPr>
  </w:style>
  <w:style w:type="character" w:styleId="Refdecomentario">
    <w:name w:val="annotation reference"/>
    <w:semiHidden/>
    <w:rsid w:val="00F0016E"/>
    <w:rPr>
      <w:sz w:val="16"/>
      <w:szCs w:val="16"/>
      <w:lang w:val="es-ES" w:eastAsia="es-ES"/>
    </w:rPr>
  </w:style>
  <w:style w:type="paragraph" w:styleId="Textocomentario">
    <w:name w:val="annotation text"/>
    <w:basedOn w:val="Normal"/>
    <w:link w:val="TextocomentarioCar"/>
    <w:semiHidden/>
    <w:rsid w:val="00F0016E"/>
    <w:rPr>
      <w:sz w:val="20"/>
    </w:rPr>
  </w:style>
  <w:style w:type="character" w:customStyle="1" w:styleId="TextocomentarioCar">
    <w:name w:val="Texto comentario Car"/>
    <w:basedOn w:val="Fuentedeprrafopredeter"/>
    <w:link w:val="Textocomentario"/>
    <w:semiHidden/>
    <w:rsid w:val="00F0016E"/>
    <w:rPr>
      <w:rFonts w:ascii="Arial" w:eastAsia="Times New Roman" w:hAnsi="Arial" w:cs="Times New Roman"/>
      <w:color w:val="000080"/>
      <w:sz w:val="20"/>
      <w:szCs w:val="20"/>
      <w:lang w:val="es-ES" w:eastAsia="es-ES"/>
    </w:rPr>
  </w:style>
  <w:style w:type="paragraph" w:styleId="Prrafodelista">
    <w:name w:val="List Paragraph"/>
    <w:aliases w:val="Bullet List,FooterText,List Paragraph1,Colorful List Accent 1,Colorful List - Accent 11,Dot pt,F5 List Paragraph,List Paragraph Char Char Char,Indicator Text,Numbered Para 1,Bullet 1,Bullet Points,List Paragraph2,MAIN CONTENT,3,Bullet"/>
    <w:basedOn w:val="Normal"/>
    <w:link w:val="PrrafodelistaCar"/>
    <w:uiPriority w:val="34"/>
    <w:qFormat/>
    <w:rsid w:val="00F0016E"/>
    <w:pPr>
      <w:ind w:left="720"/>
    </w:pPr>
    <w:rPr>
      <w:rFonts w:ascii="Calibri" w:eastAsia="Calibri" w:hAnsi="Calibri"/>
      <w:color w:val="000000"/>
      <w:szCs w:val="22"/>
    </w:rPr>
  </w:style>
  <w:style w:type="paragraph" w:styleId="Sinespaciado">
    <w:name w:val="No Spacing"/>
    <w:uiPriority w:val="1"/>
    <w:qFormat/>
    <w:rsid w:val="00F0016E"/>
    <w:pPr>
      <w:spacing w:after="0" w:line="240" w:lineRule="auto"/>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F0016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0016E"/>
    <w:rPr>
      <w:rFonts w:ascii="Segoe UI" w:eastAsia="Times New Roman" w:hAnsi="Segoe UI" w:cs="Segoe UI"/>
      <w:color w:val="000080"/>
      <w:sz w:val="18"/>
      <w:szCs w:val="18"/>
      <w:lang w:val="es-ES" w:eastAsia="es-ES"/>
    </w:rPr>
  </w:style>
  <w:style w:type="paragraph" w:styleId="Encabezado">
    <w:name w:val="header"/>
    <w:basedOn w:val="Normal"/>
    <w:link w:val="EncabezadoCar"/>
    <w:uiPriority w:val="99"/>
    <w:unhideWhenUsed/>
    <w:rsid w:val="00280CED"/>
    <w:pPr>
      <w:tabs>
        <w:tab w:val="center" w:pos="4680"/>
        <w:tab w:val="right" w:pos="9360"/>
      </w:tabs>
    </w:pPr>
  </w:style>
  <w:style w:type="character" w:customStyle="1" w:styleId="EncabezadoCar">
    <w:name w:val="Encabezado Car"/>
    <w:basedOn w:val="Fuentedeprrafopredeter"/>
    <w:link w:val="Encabezado"/>
    <w:uiPriority w:val="99"/>
    <w:rsid w:val="00280CED"/>
    <w:rPr>
      <w:rFonts w:ascii="Arial" w:eastAsia="Times New Roman" w:hAnsi="Arial" w:cs="Times New Roman"/>
      <w:color w:val="000080"/>
      <w:szCs w:val="20"/>
      <w:lang w:val="es-ES" w:eastAsia="es-ES"/>
    </w:rPr>
  </w:style>
  <w:style w:type="paragraph" w:styleId="Piedepgina">
    <w:name w:val="footer"/>
    <w:basedOn w:val="Normal"/>
    <w:link w:val="PiedepginaCar"/>
    <w:uiPriority w:val="99"/>
    <w:unhideWhenUsed/>
    <w:rsid w:val="00280CED"/>
    <w:pPr>
      <w:tabs>
        <w:tab w:val="center" w:pos="4680"/>
        <w:tab w:val="right" w:pos="9360"/>
      </w:tabs>
    </w:pPr>
  </w:style>
  <w:style w:type="character" w:customStyle="1" w:styleId="PiedepginaCar">
    <w:name w:val="Pie de página Car"/>
    <w:basedOn w:val="Fuentedeprrafopredeter"/>
    <w:link w:val="Piedepgina"/>
    <w:uiPriority w:val="99"/>
    <w:rsid w:val="00280CED"/>
    <w:rPr>
      <w:rFonts w:ascii="Arial" w:eastAsia="Times New Roman" w:hAnsi="Arial" w:cs="Times New Roman"/>
      <w:color w:val="00008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4231C"/>
    <w:rPr>
      <w:b/>
      <w:bCs/>
    </w:rPr>
  </w:style>
  <w:style w:type="character" w:customStyle="1" w:styleId="AsuntodelcomentarioCar">
    <w:name w:val="Asunto del comentario Car"/>
    <w:basedOn w:val="TextocomentarioCar"/>
    <w:link w:val="Asuntodelcomentario"/>
    <w:uiPriority w:val="99"/>
    <w:semiHidden/>
    <w:rsid w:val="0024231C"/>
    <w:rPr>
      <w:rFonts w:ascii="Arial" w:eastAsia="Times New Roman" w:hAnsi="Arial" w:cs="Times New Roman"/>
      <w:b/>
      <w:bCs/>
      <w:color w:val="000080"/>
      <w:sz w:val="20"/>
      <w:szCs w:val="20"/>
      <w:lang w:val="es-ES" w:eastAsia="es-ES"/>
    </w:rPr>
  </w:style>
  <w:style w:type="character" w:customStyle="1" w:styleId="PrrafodelistaCar">
    <w:name w:val="Párrafo de lista Car"/>
    <w:aliases w:val="Bullet List Car,FooterText Car,List Paragraph1 Car,Colorful List Accent 1 Car,Colorful List - Accent 11 Car,Dot pt Car,F5 List Paragraph Car,List Paragraph Char Char Char Car,Indicator Text Car,Numbered Para 1 Car,Bullet 1 Car,3 Car"/>
    <w:basedOn w:val="Fuentedeprrafopredeter"/>
    <w:link w:val="Prrafodelista"/>
    <w:uiPriority w:val="34"/>
    <w:qFormat/>
    <w:locked/>
    <w:rsid w:val="0044523F"/>
    <w:rPr>
      <w:rFonts w:ascii="Calibri" w:eastAsia="Calibri" w:hAnsi="Calibri" w:cs="Times New Roman"/>
      <w:color w:val="00000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57179a7e-1ea0-4fe7-b928-bfa7fc5d5c2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139C0C9425FFD4CB025DBF421827A54" ma:contentTypeVersion="18" ma:contentTypeDescription="Create a new document." ma:contentTypeScope="" ma:versionID="4aad7aeec773b11df755465f7f0109e2">
  <xsd:schema xmlns:xsd="http://www.w3.org/2001/XMLSchema" xmlns:xs="http://www.w3.org/2001/XMLSchema" xmlns:p="http://schemas.microsoft.com/office/2006/metadata/properties" xmlns:ns3="57179a7e-1ea0-4fe7-b928-bfa7fc5d5c2a" xmlns:ns4="dce56e1f-7d34-4015-b65b-302d620e86ee" targetNamespace="http://schemas.microsoft.com/office/2006/metadata/properties" ma:root="true" ma:fieldsID="cd1af4c8d13280368a7798a286d0bce7" ns3:_="" ns4:_="">
    <xsd:import namespace="57179a7e-1ea0-4fe7-b928-bfa7fc5d5c2a"/>
    <xsd:import namespace="dce56e1f-7d34-4015-b65b-302d620e86e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_activity" minOccurs="0"/>
                <xsd:element ref="ns3:MediaServiceObjectDetectorVersions" minOccurs="0"/>
                <xsd:element ref="ns3:MediaServiceSystemTag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179a7e-1ea0-4fe7-b928-bfa7fc5d5c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e56e1f-7d34-4015-b65b-302d620e86e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DAF4B30-0E38-4574-B990-7DD4DD8E6E9B}">
  <ds:schemaRefs>
    <ds:schemaRef ds:uri="http://schemas.microsoft.com/office/2006/metadata/properties"/>
    <ds:schemaRef ds:uri="http://schemas.microsoft.com/office/infopath/2007/PartnerControls"/>
    <ds:schemaRef ds:uri="57179a7e-1ea0-4fe7-b928-bfa7fc5d5c2a"/>
  </ds:schemaRefs>
</ds:datastoreItem>
</file>

<file path=customXml/itemProps2.xml><?xml version="1.0" encoding="utf-8"?>
<ds:datastoreItem xmlns:ds="http://schemas.openxmlformats.org/officeDocument/2006/customXml" ds:itemID="{27A73379-76F1-44B1-A6B8-6FC60A0EACDC}">
  <ds:schemaRefs>
    <ds:schemaRef ds:uri="http://schemas.microsoft.com/sharepoint/v3/contenttype/forms"/>
  </ds:schemaRefs>
</ds:datastoreItem>
</file>

<file path=customXml/itemProps3.xml><?xml version="1.0" encoding="utf-8"?>
<ds:datastoreItem xmlns:ds="http://schemas.openxmlformats.org/officeDocument/2006/customXml" ds:itemID="{2B8ED4DB-406E-4FA6-922E-AFD7DDE363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179a7e-1ea0-4fe7-b928-bfa7fc5d5c2a"/>
    <ds:schemaRef ds:uri="dce56e1f-7d34-4015-b65b-302d620e86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20376</Words>
  <Characters>112070</Characters>
  <Application>Microsoft Office Word</Application>
  <DocSecurity>0</DocSecurity>
  <Lines>933</Lines>
  <Paragraphs>264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ESPINOSA Eric</dc:creator>
  <cp:keywords/>
  <dc:description/>
  <cp:lastModifiedBy>Héctor Anibal de León Rojas</cp:lastModifiedBy>
  <cp:revision>2</cp:revision>
  <cp:lastPrinted>2024-11-27T13:40:00Z</cp:lastPrinted>
  <dcterms:created xsi:type="dcterms:W3CDTF">2024-12-05T15:36:00Z</dcterms:created>
  <dcterms:modified xsi:type="dcterms:W3CDTF">2024-12-05T15:36:00Z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0x0101003139C0C9425FFD4CB025DBF421827A54</vt:lpwstr>
  </property>
  <property fmtid="{D5CDD505-2E9C-101B-9397-08002B2CF9AE}" pid="3" name="MSIP_Label_2059aa38-f392-4105-be92-628035578272_Enabled">
    <vt:lpwstr>true</vt:lpwstr>
  </property>
  <property fmtid="{D5CDD505-2E9C-101B-9397-08002B2CF9AE}" pid="4" name="MSIP_Label_2059aa38-f392-4105-be92-628035578272_SetDate">
    <vt:lpwstr>2024-11-25T22:37:55Z</vt:lpwstr>
  </property>
  <property fmtid="{D5CDD505-2E9C-101B-9397-08002B2CF9AE}" pid="5" name="MSIP_Label_2059aa38-f392-4105-be92-628035578272_Method">
    <vt:lpwstr>Standard</vt:lpwstr>
  </property>
  <property fmtid="{D5CDD505-2E9C-101B-9397-08002B2CF9AE}" pid="6" name="MSIP_Label_2059aa38-f392-4105-be92-628035578272_Name">
    <vt:lpwstr>IOMLb0020IN123173</vt:lpwstr>
  </property>
  <property fmtid="{D5CDD505-2E9C-101B-9397-08002B2CF9AE}" pid="7" name="MSIP_Label_2059aa38-f392-4105-be92-628035578272_SiteId">
    <vt:lpwstr>1588262d-23fb-43b4-bd6e-bce49c8e6186</vt:lpwstr>
  </property>
  <property fmtid="{D5CDD505-2E9C-101B-9397-08002B2CF9AE}" pid="8" name="MSIP_Label_2059aa38-f392-4105-be92-628035578272_ActionId">
    <vt:lpwstr>5e37e2e1-2882-430a-bec6-21e992a8ced7</vt:lpwstr>
  </property>
  <property fmtid="{D5CDD505-2E9C-101B-9397-08002B2CF9AE}" pid="9" name="MSIP_Label_2059aa38-f392-4105-be92-628035578272_ContentBits">
    <vt:lpwstr>0</vt:lpwstr>
  </property>
</Properties>
</file>