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A08C" w14:textId="4B654EDF" w:rsidR="00E44D88" w:rsidRDefault="00E44D88">
      <w:pPr>
        <w:pBdr>
          <w:bottom w:val="single" w:sz="4" w:space="1" w:color="000000"/>
        </w:pBdr>
        <w:spacing w:after="0" w:line="276" w:lineRule="auto"/>
        <w:rPr>
          <w:b/>
        </w:rPr>
      </w:pPr>
    </w:p>
    <w:p w14:paraId="22C0FC1E" w14:textId="77777777" w:rsidR="00E44D88" w:rsidRDefault="00E44D88">
      <w:pPr>
        <w:pBdr>
          <w:bottom w:val="single" w:sz="4" w:space="1" w:color="000000"/>
        </w:pBdr>
        <w:spacing w:after="0" w:line="276" w:lineRule="auto"/>
        <w:jc w:val="center"/>
        <w:rPr>
          <w:b/>
        </w:rPr>
      </w:pPr>
    </w:p>
    <w:p w14:paraId="6094DBE5" w14:textId="77777777" w:rsidR="00E44D88" w:rsidRDefault="004567E0">
      <w:pPr>
        <w:pBdr>
          <w:bottom w:val="single" w:sz="4" w:space="1" w:color="000000"/>
        </w:pBdr>
        <w:spacing w:after="0" w:line="276" w:lineRule="auto"/>
        <w:jc w:val="center"/>
        <w:rPr>
          <w:b/>
        </w:rPr>
      </w:pPr>
      <w:r>
        <w:rPr>
          <w:b/>
        </w:rPr>
        <w:t xml:space="preserve">ADENDA A CARTA DE ENTENDIMIENTO ENTRE EL INSTITUTO GUATEMALTECO DE MIGRACIÓN, LA ASOCIACIÓN MÉDICOS DEL MUNDO, Y EL FONDO DE NACIONES UNIDAS PARA LA INFANCIA -UNICEF-, PARA EL FORTALECIMIENTO DE LAS ACCIONES EMPRENDIDAS A FAVOR DE LAS PERSONAS </w:t>
      </w:r>
      <w:r>
        <w:rPr>
          <w:b/>
        </w:rPr>
        <w:t>MIGRANTES, EN PARTICULAR A NIÑOS, NIÑAS Y ADOLESCENTES.</w:t>
      </w:r>
    </w:p>
    <w:p w14:paraId="49C4C798" w14:textId="1E7608D1" w:rsidR="00E44D88" w:rsidRDefault="004567E0">
      <w:pPr>
        <w:jc w:val="both"/>
      </w:pPr>
      <w:r>
        <w:t xml:space="preserve">En la ciudad de Guatemala, el día once de noviembre del año dos mil veinticuatro (11/11/2024), NOSOTROS: </w:t>
      </w:r>
      <w:r>
        <w:rPr>
          <w:b/>
        </w:rPr>
        <w:t>A) ALFREDO DANILO RIVERA</w:t>
      </w:r>
      <w:r>
        <w:t>, de cuarenta y cuatro años (44) de edad, soltero, guatemalteco, Contad</w:t>
      </w:r>
      <w:r>
        <w:t>or Público y Auditor, de este domicilio, me identifico con el Documento Personal de Identificación ―DPI― con Código Único de Identificación ―CUI― dos mil quinientos diecisiete, veinticuatro mil ciento ochenta y dos, cero ciento uno (2517 24182 0101), exten</w:t>
      </w:r>
      <w:r>
        <w:t>dido por el Registro Nacional de las Personas ―RENAP― de la República de Guatemala, actúo en mi calidad Director General del Instituto Guatemalteco de Migración, personería que acredito con: a) copia certificada del Acuerdo Gubernativo de Nombramiento Núme</w:t>
      </w:r>
      <w:r>
        <w:t>ro ciento uno (101), de fecha veintitrés (23) de abril del año dos mil veinticuatro (2024)  emitido por el Presidente de la República de Guatemala; b) Certificación del acta de Toma de Posesión del Cargo número cero cincuenta y seis guion dos mil veinticua</w:t>
      </w:r>
      <w:r>
        <w:t>tro (056-2024), de fecha veinticuatro (24) de abril de dos mil veinticuatro (2024), emitida por la Subdirectora de Recursos Humanos y Profesionalización de Personal del Instituto Guatemalteco de Migración; señalo como lugar para recibir notificaciones, cit</w:t>
      </w:r>
      <w:r>
        <w:t>aciones o emplazamientos la sede del Instituto Guatemalteco de Migración, en adelante “EL INSTITUTO”, ubicada en la sexta avenida tres guion once, zona cuatro, (6av. 3-11 zona 4), Ciudad de Guatemala; y por la otra parte</w:t>
      </w:r>
      <w:r>
        <w:rPr>
          <w:i/>
        </w:rPr>
        <w:t>.</w:t>
      </w:r>
      <w:r>
        <w:t xml:space="preserve"> </w:t>
      </w:r>
      <w:r>
        <w:rPr>
          <w:b/>
        </w:rPr>
        <w:t>B)  MARÍA ELENA CÁCERES RODRÍGUEZ</w:t>
      </w:r>
      <w:r>
        <w:t>,</w:t>
      </w:r>
      <w:r>
        <w:t xml:space="preserve"> de cincuenta y cuatro (54) años de edad, soltera, española, Licenciada en Pedagogía, de este domicilio, me identifico con pasaporte español número iniciales PAS setecientos cuarenta y siete mil diecinueve (PAS747019) extendido en España por el gobierno Es</w:t>
      </w:r>
      <w:r>
        <w:t>pañol, el cuatro (4) de enero de dos mil veinticuatro (2024), quien actúa en su calidad de Representante Legal de Asociación Médicos del Mundo en Guatemala, a partir del veintiuno (21) de julio de dos mil veintiuno (2021) cargo que acredito con:  a)  docum</w:t>
      </w:r>
      <w:r>
        <w:t>ento Número Cuarenta y ocho mil doscientos cuatro (48204), inscrito en el archivo general de protocolos, el cual da validez a la Representación Legal quinientos setenta y dos mil novecientos cuarenta y siete guion E (572947-E) de fecha veintiuno (21) de ju</w:t>
      </w:r>
      <w:r>
        <w:t>lio del dos mil veintiuno (2021); señalo como lugar para recibir notificaciones, citaciones en la sede de Médicos del Mundo, ubicada en la treinta y ocho calle doce guion treinta y cinco de la zona doce (38 calle 12-35 zona 12), apartamento B, Colonia Vill</w:t>
      </w:r>
      <w:r>
        <w:t xml:space="preserve">a Sol ciudad de Guatemala; </w:t>
      </w:r>
      <w:r>
        <w:rPr>
          <w:b/>
        </w:rPr>
        <w:t xml:space="preserve">  y C) MANUEL RODRÍGUEZ PUMAROL</w:t>
      </w:r>
      <w:r>
        <w:t>, de cincuenta y dos (52) años de edad, casado, médico, dominicano, de este domicilio, quien se identifica con el pasaporte número RD siete millones trescientos cincuenta y u mil seiscientos ochenta</w:t>
      </w:r>
      <w:r>
        <w:t xml:space="preserve"> y cuatro (RD7351684), extendido por las autoridades migratorias de República Dominicana, quien actúa en su calidad de Representante del Fondo de las Naciones Unidas para la Infancia en Guatemala (en adelante UNICEF), a partir del diecinueve  (19) de julio</w:t>
      </w:r>
      <w:r>
        <w:t xml:space="preserve"> de dos mil veintitrés (2023), cargo que acredita con formulario ACRED-SUPEI-EA-2023-149 de acreditación para funcionarios de organismos internacionales, registrado en la fecha relacionada ante el Ministerio de Relaciones Exteriores de la República de Guat</w:t>
      </w:r>
      <w:r>
        <w:t xml:space="preserve">emala, a través de la Dirección General de Protocolo y Ceremonial Diplomático y la Subdirección de Privilegios e Inmunidades de la Dirección General de Protocolo y Ceremonial </w:t>
      </w:r>
      <w:r>
        <w:lastRenderedPageBreak/>
        <w:t>Diplomático y señalo como lugar para recibir notificaciones la trece calle ocho g</w:t>
      </w:r>
      <w:r>
        <w:t xml:space="preserve">uion cuarenta y cuatro de la zona diez (13 calle 8-44 zona 10), Edificio </w:t>
      </w:r>
      <w:proofErr w:type="spellStart"/>
      <w:r>
        <w:t>Edyma</w:t>
      </w:r>
      <w:proofErr w:type="spellEnd"/>
      <w:r>
        <w:t xml:space="preserve"> Plaza, segundo nivel, Ciudad de Guatemala. Los comparecientes aseguramos ser de los datos de identificación personal antes consignados, hallarnos en el libre ejercicio de nuestr</w:t>
      </w:r>
      <w:r>
        <w:t xml:space="preserve">os derechos civiles, que las representaciones que se ejercemos son suficientes conforme a la ley y a nuestro juicio y que por el presente celebramos </w:t>
      </w:r>
      <w:r>
        <w:rPr>
          <w:b/>
        </w:rPr>
        <w:t>ADENDA A CARTA DE ENTENDIMIENTO</w:t>
      </w:r>
      <w:r>
        <w:t xml:space="preserve">, la cual está contenida en las cláusulas siguientes. </w:t>
      </w:r>
      <w:r>
        <w:rPr>
          <w:b/>
        </w:rPr>
        <w:t>PRIMERA: BASE LEGAL:</w:t>
      </w:r>
      <w:r>
        <w:t xml:space="preserve"> L</w:t>
      </w:r>
      <w:r>
        <w:t>a presente Adenda a Carta de Entendimiento, se suscribe con fundamento en la resolución N.º 57 (I) de la Asamblea General de las Naciones Unidas de fecha 11 de diciembre de 1946, el Acuerdo Básico suscrito entre UNICEF y el Gobierno de la República de Guat</w:t>
      </w:r>
      <w:r>
        <w:t>emala el 22 de noviembre de 1955 y ratificado el 22 de abril de 1965, así como el Plan Estratégico de UNICEF a través del CPD 2020-2025, firmado entre la República de Guatemala y la Organización de las Naciones Unidas el dieciocho de diciembre de dos mil v</w:t>
      </w:r>
      <w:r>
        <w:t xml:space="preserve">einte. </w:t>
      </w:r>
      <w:r>
        <w:rPr>
          <w:b/>
        </w:rPr>
        <w:t xml:space="preserve">SEGUNDA: ANTECEDENTES: a) </w:t>
      </w:r>
      <w:r>
        <w:t>Con fecha veinticuatro (24) de octubre del año dos mil veintidós (2022), el Instituto Guatemalteco de Migración, la Asociación Médicos del Mundo y El Fondo de las Naciones Unidas para la Infancia -UNICEF- suscribieron carta</w:t>
      </w:r>
      <w:r>
        <w:t xml:space="preserve"> de entendimiento</w:t>
      </w:r>
      <w:r>
        <w:rPr>
          <w:b/>
        </w:rPr>
        <w:t xml:space="preserve"> </w:t>
      </w:r>
      <w:r>
        <w:t xml:space="preserve">para el fortalecimiento de las acciones emprendidas a favor de las personas migrantes, en particular a niños, niñas y adolescentes; dicha Carta de Entendimiento en su cláusula SEXTA, estipula que la misma podrá ser ampliada o modificada, </w:t>
      </w:r>
      <w:r>
        <w:t xml:space="preserve">mediante acuerdo expreso entre las Partes, formalizado mediante la suscripción de un Adenda, a requerimiento de cualquiera de las Partes; </w:t>
      </w:r>
      <w:r>
        <w:rPr>
          <w:b/>
        </w:rPr>
        <w:t>b)</w:t>
      </w:r>
      <w:r>
        <w:t xml:space="preserve"> Mediante oficio GUA diagonal ciento ochenta y cuatro diagonal dos mil veinticuatro guion JS diagonal </w:t>
      </w:r>
      <w:proofErr w:type="spellStart"/>
      <w:r>
        <w:t>sd</w:t>
      </w:r>
      <w:proofErr w:type="spellEnd"/>
      <w:r>
        <w:t xml:space="preserve"> (GUA/184/20</w:t>
      </w:r>
      <w:r>
        <w:t>24-JS/</w:t>
      </w:r>
      <w:proofErr w:type="spellStart"/>
      <w:r>
        <w:t>sd</w:t>
      </w:r>
      <w:proofErr w:type="spellEnd"/>
      <w:r>
        <w:t>) de fecha veintidós (22) de julio de dos mil veinticuatro (2024), el representante del Fondo de las Naciones Unidas para la Infancia UNICEF solicita iniciar proceso para formalizar nuevo Convenio de Cooperación Interinstitucional entre el Institut</w:t>
      </w:r>
      <w:r>
        <w:t xml:space="preserve">o Guatemalteco de Migración, la Asociación Médicos del Mundo y UNICEF; </w:t>
      </w:r>
      <w:r>
        <w:rPr>
          <w:b/>
        </w:rPr>
        <w:t>c)</w:t>
      </w:r>
      <w:r>
        <w:t xml:space="preserve">   El Instituto Guatemalteco de Migración mediante oficio OF guion IGM guion DG guion seiscientos setenta y cuatro gui</w:t>
      </w:r>
      <w:r w:rsidR="00733165">
        <w:t>o</w:t>
      </w:r>
      <w:r>
        <w:t xml:space="preserve">n dos mil veinticuatro diagonal ADR punto </w:t>
      </w:r>
      <w:proofErr w:type="spellStart"/>
      <w:r>
        <w:t>mac</w:t>
      </w:r>
      <w:proofErr w:type="spellEnd"/>
      <w:r>
        <w:t xml:space="preserve"> (OF-IGM-DG-674-202</w:t>
      </w:r>
      <w:r>
        <w:t xml:space="preserve">4/ADR.mac), de fecha cinco (05) de agosto de dos mil veinticuatro, signada por el Director General del Instituto Guatemalteco de Migración, indicó que se autoriza la suscripción de una adenda a la Carta de Entendimiento. </w:t>
      </w:r>
      <w:r>
        <w:rPr>
          <w:b/>
        </w:rPr>
        <w:t>TERCERA:</w:t>
      </w:r>
      <w:r>
        <w:t xml:space="preserve"> </w:t>
      </w:r>
      <w:r>
        <w:rPr>
          <w:b/>
        </w:rPr>
        <w:t xml:space="preserve">OBJETO DE LA ADENDA: </w:t>
      </w:r>
      <w:r>
        <w:t>El ob</w:t>
      </w:r>
      <w:r>
        <w:t xml:space="preserve">jeto de la presente Adenda es: </w:t>
      </w:r>
      <w:r>
        <w:rPr>
          <w:b/>
        </w:rPr>
        <w:t>a)</w:t>
      </w:r>
      <w:r>
        <w:t xml:space="preserve"> prorrogar el plazo y vigencia de la Carta de Entendimiento por un período de tres años más contados a partir de la suscripción de la presente adenda; y </w:t>
      </w:r>
      <w:r>
        <w:rPr>
          <w:b/>
        </w:rPr>
        <w:t>b)</w:t>
      </w:r>
      <w:r>
        <w:t xml:space="preserve"> ampliar y modificar varios puntos de la Carta de Entendimiento que </w:t>
      </w:r>
      <w:r>
        <w:t xml:space="preserve">se describirán a continuación. </w:t>
      </w:r>
      <w:r>
        <w:rPr>
          <w:b/>
        </w:rPr>
        <w:t xml:space="preserve">CUARTA: </w:t>
      </w:r>
      <w:r>
        <w:t>Se adiciona la cláusula PRIMERA Bis, la cual queda así: “</w:t>
      </w:r>
      <w:r>
        <w:rPr>
          <w:b/>
        </w:rPr>
        <w:t xml:space="preserve">PRIMERA Bis: POBLACIÓN BENEFICIADA. </w:t>
      </w:r>
      <w:r>
        <w:t xml:space="preserve">Niñas, niños, adolescentes y sus familias en contexto de movilidad humana retornados o en tránsito migratorio, atendidos en </w:t>
      </w:r>
      <w:r>
        <w:t>los Centros de Recepción de Retornados a cargo del Instituto, y otros puntos en el territorio nacional, previamente coordinados entre las partes; incluye la atención humanitaria de personas en movilidad en casos de altos flujos de movilidad humana, especia</w:t>
      </w:r>
      <w:r>
        <w:t>lmente niñas, niños y adolescentes.”</w:t>
      </w:r>
      <w:r>
        <w:rPr>
          <w:b/>
        </w:rPr>
        <w:t xml:space="preserve">  QUINTA: </w:t>
      </w:r>
      <w:r>
        <w:t>Se adicionan los numerales del 11 al 16 a la cláusula SEGUNDA inciso B. COMPROMISOS PARA EL INSTITUTO GUATEMALTECO DE MIGRACIÓN</w:t>
      </w:r>
      <w:r>
        <w:rPr>
          <w:b/>
        </w:rPr>
        <w:t xml:space="preserve">, </w:t>
      </w:r>
      <w:r>
        <w:t>el cual queda así: “</w:t>
      </w:r>
      <w:r>
        <w:rPr>
          <w:b/>
        </w:rPr>
        <w:t xml:space="preserve">11. </w:t>
      </w:r>
      <w:r>
        <w:t>Facilitar la coordinación, información y espacios para qu</w:t>
      </w:r>
      <w:r>
        <w:t>e el personal técnico de Asociación Médicos del Mundo, puedan desarrollar las funciones de asistencia técnica establecidos en los planes de trabajo con UNICEF en el marco del mandato del Instituto Guatemalteco de Migración y bajo los principios y regulacio</w:t>
      </w:r>
      <w:r>
        <w:t xml:space="preserve">nes de la legislación guatemalteca, así como en el marco de los protocolos de actuación institucional; </w:t>
      </w:r>
      <w:r>
        <w:rPr>
          <w:b/>
        </w:rPr>
        <w:t>12.</w:t>
      </w:r>
      <w:r>
        <w:t xml:space="preserve"> Garantizar los servicios esenciales de protección especial para las niñas, niños y adolescentes guatemaltecos y </w:t>
      </w:r>
      <w:r>
        <w:lastRenderedPageBreak/>
        <w:t xml:space="preserve">extranjeros en contexto de movilidad </w:t>
      </w:r>
      <w:r>
        <w:t xml:space="preserve">no acompañados y acompañados, retornados y en tránsito desde su ingreso a territorio guatemalteco; </w:t>
      </w:r>
      <w:r>
        <w:rPr>
          <w:b/>
        </w:rPr>
        <w:t>13.</w:t>
      </w:r>
      <w:r>
        <w:t xml:space="preserve"> Facilitar el proceso de intercambio y comunicación intrainstitucional con unidades del Instituto Guatemalteco de Migración para la gestión y derivación d</w:t>
      </w:r>
      <w:r>
        <w:t xml:space="preserve">e casos que faciliten los distintos procesos internos; </w:t>
      </w:r>
      <w:r>
        <w:rPr>
          <w:b/>
        </w:rPr>
        <w:t>14</w:t>
      </w:r>
      <w:r>
        <w:t xml:space="preserve">. Facilitar los procesos de intercambio y comunicación entre las partes con otras dependencias del gobierno, </w:t>
      </w:r>
      <w:r>
        <w:rPr>
          <w:b/>
        </w:rPr>
        <w:t>15.</w:t>
      </w:r>
      <w:r>
        <w:t xml:space="preserve"> Fortalecer alianzas estratégicas a nivel local, municipal y departamental para el apoy</w:t>
      </w:r>
      <w:r>
        <w:t xml:space="preserve">o, seguimiento y acompañamiento de los casos especiales de niñez guatemalteca retornada y sus familias; </w:t>
      </w:r>
      <w:r>
        <w:rPr>
          <w:b/>
        </w:rPr>
        <w:t>16.</w:t>
      </w:r>
      <w:r>
        <w:t xml:space="preserve"> Compartir información cuantitativa a las partes de las atenciones realizadas.”; </w:t>
      </w:r>
      <w:r>
        <w:rPr>
          <w:b/>
        </w:rPr>
        <w:t>SEXTA:</w:t>
      </w:r>
      <w:r>
        <w:t xml:space="preserve"> Se adicionan los numerales 9 y 10. a la cláusula SEGUNDA inci</w:t>
      </w:r>
      <w:r>
        <w:t>so C. COMPROMISOS PARA LA ASOCIACIÓN MÉDICOS DEL MUNDO</w:t>
      </w:r>
      <w:r>
        <w:rPr>
          <w:b/>
        </w:rPr>
        <w:t xml:space="preserve">, </w:t>
      </w:r>
      <w:r>
        <w:t>el cual queda así:</w:t>
      </w:r>
      <w:r>
        <w:rPr>
          <w:rFonts w:ascii="Arial" w:eastAsia="Arial" w:hAnsi="Arial" w:cs="Arial"/>
          <w:sz w:val="24"/>
          <w:szCs w:val="24"/>
        </w:rPr>
        <w:t xml:space="preserve"> </w:t>
      </w:r>
      <w:r>
        <w:t>“9.</w:t>
      </w:r>
      <w:r>
        <w:rPr>
          <w:rFonts w:ascii="Arial" w:eastAsia="Arial" w:hAnsi="Arial" w:cs="Arial"/>
          <w:sz w:val="24"/>
          <w:szCs w:val="24"/>
        </w:rPr>
        <w:t xml:space="preserve"> </w:t>
      </w:r>
      <w:r>
        <w:t>Adicionalmente, los socios garantizarán la implementación de actividades, en coherencia con las políticas y procedimientos de UNICEF; conducirá los procesos de reclutamiento y a</w:t>
      </w:r>
      <w:r>
        <w:t>dquisiciones bajo los métodos estándares de imparcialidad, integridad y transparencia, basándose en comparación y selección, luego de análisis de mínimo tres (3) alternativas identificadas. Los pagos por bienes y servicios serán sujetos a revisión y aproba</w:t>
      </w:r>
      <w:r>
        <w:t>ción contra evidencia de bienes y servicios recibidos a entera satisfacción. El socio en la implementación preparará reportes trimestrales de bienes y servicios recibidos y la evidencia del servicio satisfactorio, para efectos de auditoría. Dichos reportes</w:t>
      </w:r>
      <w:r>
        <w:t xml:space="preserve"> trimestrales incluirán los aportes del socio de gobierno en aquellos casos en los que la institución de gobierno lidere la recopilación de datos.”; “10. Médicos del Mundo se compromete a proporcionar a IGM documentación e información necesaria para el ade</w:t>
      </w:r>
      <w:r>
        <w:t>cuado registro de la cooperación, conforme a los procedimientos establecidos en la normativa interna de IGM y ante los entes reguladores correspondientes. Esta obligación incluye la entrega de cualquier documento, reporte o dato que IGM requiera para cumpl</w:t>
      </w:r>
      <w:r>
        <w:t xml:space="preserve">ir con las normativas aplicables” </w:t>
      </w:r>
      <w:r>
        <w:rPr>
          <w:b/>
        </w:rPr>
        <w:t>SÉPTIMA:</w:t>
      </w:r>
      <w:r>
        <w:t xml:space="preserve"> Se adiciona el numeral 4. a la cláusula SEGUNDA inciso D.</w:t>
      </w:r>
      <w:r>
        <w:rPr>
          <w:rFonts w:ascii="Arial" w:eastAsia="Arial" w:hAnsi="Arial" w:cs="Arial"/>
        </w:rPr>
        <w:t xml:space="preserve"> </w:t>
      </w:r>
      <w:r>
        <w:t>COMPROMISOS DEL FONDO DE LAS NACIONES UNIDAS PARA LA INFANCIA (UNICEF), el cual queda así: “4. Conducir actividades de aseguramiento, en el marco de la imp</w:t>
      </w:r>
      <w:r>
        <w:t xml:space="preserve">lementación del Método Armonizado de Transferencias de Efectivo a Socios en la Implementación (HACT, por sus siglas en inglés);” </w:t>
      </w:r>
      <w:r>
        <w:rPr>
          <w:b/>
        </w:rPr>
        <w:t>OCTAVA:</w:t>
      </w:r>
      <w:r>
        <w:t xml:space="preserve"> Se adiciona el numeral 4. a la cláusula SEGUNDA inciso E. CONSIDERACIONES GENERALES, el cual queda así: “4. El Institut</w:t>
      </w:r>
      <w:r>
        <w:t xml:space="preserve">o Guatemalteco de Migración, no erogará gastos por la presente Carta de Entendimiento”. </w:t>
      </w:r>
      <w:r>
        <w:rPr>
          <w:b/>
        </w:rPr>
        <w:t>NOVENA:</w:t>
      </w:r>
      <w:r>
        <w:t xml:space="preserve"> Se adicionan los incisos c. y d. a la cláusula SÉPTIMA: TERMINACIÓN ANTICIPADA DE LA CARTA DE ENTENDIMIENTO, el cual queda así: “</w:t>
      </w:r>
      <w:r>
        <w:rPr>
          <w:b/>
        </w:rPr>
        <w:t>c.</w:t>
      </w:r>
      <w:r>
        <w:t xml:space="preserve"> Por causal de fuerza mayor o</w:t>
      </w:r>
      <w:r>
        <w:t xml:space="preserve"> caso fortuito, en cuyo caso, las partes quedarán libres de responsabilidad en el cumplimiento de aquellas obligaciones principales que no debieron ser cumplidas con anterioridad al acaecimiento del caso fortuito o de la fuerza mayor; y </w:t>
      </w:r>
      <w:r>
        <w:rPr>
          <w:b/>
        </w:rPr>
        <w:t>d.</w:t>
      </w:r>
      <w:r>
        <w:t xml:space="preserve"> Por voluntad de </w:t>
      </w:r>
      <w:r>
        <w:t xml:space="preserve">una de las partes con motivo del incumplimiento de la otra parte. En todos los casos se deberá notificar a las otras partes, con por lo menos, treinta (30) días de antelación a la fecha efectiva de terminación.”. </w:t>
      </w:r>
      <w:r>
        <w:rPr>
          <w:b/>
        </w:rPr>
        <w:t>DÉCIMA:</w:t>
      </w:r>
      <w:r>
        <w:t xml:space="preserve"> Se adiciona un segundo párrafo a la</w:t>
      </w:r>
      <w:r>
        <w:t xml:space="preserve"> cláusula NOVENA: ACUERDO DE CONFIDENCIALIDAD, la cual queda así: “Las partes se comprometen a mantener durante la vigencia de esta cooperación, así como después de su finalización, la confidencialidad de toda información que hubiesen conocido con motivo d</w:t>
      </w:r>
      <w:r>
        <w:t>el presente convenio; la transgresión a la presente cláusula es motivo suficiente para invocar la terminación del convenio sin responsabilidad alguna de la parte que invoca la finalización del mismo y para deducir responsabilidades contra la parte transgre</w:t>
      </w:r>
      <w:r>
        <w:t xml:space="preserve">sora.” </w:t>
      </w:r>
      <w:r>
        <w:rPr>
          <w:b/>
        </w:rPr>
        <w:t>UNDÉCIMA:</w:t>
      </w:r>
      <w:r>
        <w:t xml:space="preserve"> Se adiciona la cláusula NOVENA Bis, la cual queda así:</w:t>
      </w:r>
      <w:r>
        <w:rPr>
          <w:b/>
        </w:rPr>
        <w:t xml:space="preserve"> “NOVENA BIS: PROPIEDAD INTELECTUAL:</w:t>
      </w:r>
      <w:r>
        <w:t xml:space="preserve"> este convenio no otorga a una Parte el derecho de uso de materiales pertenecientes a, o creados por la otra </w:t>
      </w:r>
      <w:r>
        <w:lastRenderedPageBreak/>
        <w:t>Parte.  Cada Parte conservará los derech</w:t>
      </w:r>
      <w:r>
        <w:t>os de propiedad intelectual en todos los materiales desarrollados o producidos por ella. El Socio reconoce el principio de que las Naciones Unidas posee la propiedad intelectual generada por las actividades programáticas y de proyectos de las Naciones Unid</w:t>
      </w:r>
      <w:r>
        <w:t>as para el bien común y que los estados miembros de las Naciones Unidas tienen derecho al uso no comercial de los resultados de dichas actividades programáticas y de proyectos.  Las Partes acuerdan que la propiedad intelectual producida como resultado de l</w:t>
      </w:r>
      <w:r>
        <w:t>as Actividades se gestionará de manera que maximice el acceso público a la misma y permita el uso más amplio posible, a menos que se disponga lo contrario en los reglamentos, las normas, políticas y los procedimientos de UNICEF o en sus acuerdos celebrados</w:t>
      </w:r>
      <w:r>
        <w:t xml:space="preserve"> con el gobierno anfitrión correspondiente y/o cualquier socio implementador.”. </w:t>
      </w:r>
      <w:r>
        <w:rPr>
          <w:b/>
        </w:rPr>
        <w:t>DUODÉCIMA:</w:t>
      </w:r>
      <w:r>
        <w:t xml:space="preserve"> Se adiciona la cláusula NOVENA Ter, la cual queda así: “</w:t>
      </w:r>
      <w:r>
        <w:rPr>
          <w:b/>
        </w:rPr>
        <w:t xml:space="preserve">NOVENA Ter: CONDUCTA ÉTICA:  </w:t>
      </w:r>
      <w:r>
        <w:t xml:space="preserve">las Partes están comprometidas con los más altos estándares de conducta ética y </w:t>
      </w:r>
      <w:r>
        <w:t>cada una cuenta con políticas, procedimientos y sistemas que ayudan a mantener esos estándares. El Socio confirma que a ningún funcionario de UNICEF se le ha ofrecido ni ha recibido (y no recibirá en el futuro) beneficio alguno como resultado de esta colab</w:t>
      </w:r>
      <w:r>
        <w:t>oración.  Esto incluye, por ejemplo, obsequios, favores u hospitalidades.  El Socio también confirma que, durante dos años a partir de la fecha de este convenio, el Socio no contratará personal de UNICEF que haya participado en el desarrollo o establecimie</w:t>
      </w:r>
      <w:r>
        <w:t>nto de esta colaboración sin antes consultarlo con UNICEF; a) este y su personal cumplirán con todas las leyes aplicables, incluyendo, entre otras, todas las leyes aplicables relacionadas con la probidad financiera, protección de niños y adultos, prevenció</w:t>
      </w:r>
      <w:r>
        <w:t>n de la discriminación, abuso y explotación sexuales; b) ni este ni ninguna de sus filiales (incluyendo entidades matrices, subsidiarias y otras entidades en las que tenga interés sustancial), están implicados directa o indirectamente en (a) ninguna prácti</w:t>
      </w:r>
      <w:r>
        <w:t>ca incongruente con los derechos establecidos en la Convención sobre los Derecho del Niño, incluyendo el Artículo 32 o el Convenio de la Organización Internacional de Trabajo sobre las peores formas de trabajo infantil, N.º 182 (1999) o (b) la fábrica, ven</w:t>
      </w:r>
      <w:r>
        <w:t>ta, distribución o el uso de minas antipersona o componentes utilizados en la fabricación de minas antipersona; c) tomará todas las medidas apropiadas para evitar que cualquier miembro de su personal o de sus filiales explote o abuse sexualmente de cualqui</w:t>
      </w:r>
      <w:r>
        <w:t xml:space="preserve">er persona, en particular de niños. El Socio informará a UNICEF tan pronto como tenga conocimiento de cualquier incidente o informe que sea incongruente con los compromisos y las confirmaciones previstos en esta cláusula.”. </w:t>
      </w:r>
      <w:r>
        <w:rPr>
          <w:b/>
        </w:rPr>
        <w:t>DECIMO TERCERA: DELEGADOS DE LAS</w:t>
      </w:r>
      <w:r>
        <w:rPr>
          <w:b/>
        </w:rPr>
        <w:t xml:space="preserve"> PARTES. </w:t>
      </w:r>
      <w:r>
        <w:t>Para la efectiva ejecución de la Carta de Entendimiento y sus adendas, las instituciones sostendrán las reuniones virtuales o presenciales que sean necesarias para velar por el logro de los objetivos del presente Convenio y establecerán los canale</w:t>
      </w:r>
      <w:r>
        <w:t>s de comunicación y coordinación adecuados, así como un Plan de Trabajo. Para lo cual se nombra como delegados: por parte de "EL INSTITUTO" a: Subdirector de Atención y Protección de Derechos Fundamentales de los Migrantes, con número de teléfono  veinticu</w:t>
      </w:r>
      <w:r>
        <w:t xml:space="preserve">atro millones ciento doce mil cuatrocientos once (24112411) y correo electrónico sapdfm@igm.gob.gt y al Encargado de la Unidad de Atención y Protección a la Niñez y Adolescencia  con correo electrónico: </w:t>
      </w:r>
      <w:r w:rsidRPr="00286693">
        <w:rPr>
          <w:color w:val="0563C1"/>
          <w:u w:val="single"/>
        </w:rPr>
        <w:t>uapna@igm.gob.gt</w:t>
      </w:r>
      <w:r>
        <w:t xml:space="preserve"> ASOCIACIÓN MÉDICOS DEL MUNDO nombra como delegado a:  Coordinación de Programa Regional de Migraciones en Guatemala (o quien haga sus veces), quien actualmente cuenta con número de teléfono cuarenta millones, sesenta y dos mil, ciento noventa y uno (40062</w:t>
      </w:r>
      <w:r>
        <w:t xml:space="preserve">191) y correo electrónico  </w:t>
      </w:r>
      <w:hyperlink r:id="rId8">
        <w:r>
          <w:rPr>
            <w:color w:val="0563C1"/>
            <w:u w:val="single"/>
          </w:rPr>
          <w:t>coord.movilidadhumana.gt@medicosdelmundo.org</w:t>
        </w:r>
      </w:hyperlink>
      <w:r>
        <w:t xml:space="preserve"> y “UNICEF” nombra a: Especialista de Protección de la Niñez (o quien haga sus veces) quien actualmente cuenta con</w:t>
      </w:r>
      <w:r>
        <w:t xml:space="preserve"> número de teléfono cincuenta y cinco millones doscientos ochenta y dos mil quinientos once (55282511) y correo </w:t>
      </w:r>
      <w:r>
        <w:lastRenderedPageBreak/>
        <w:t xml:space="preserve">electrónico </w:t>
      </w:r>
      <w:hyperlink r:id="rId9">
        <w:r>
          <w:rPr>
            <w:color w:val="0563C1"/>
            <w:u w:val="single"/>
          </w:rPr>
          <w:t>jsolorzano@unicef.org</w:t>
        </w:r>
      </w:hyperlink>
      <w:r>
        <w:t xml:space="preserve">  y Oficial de Protección (o quien haga sus veces), quien actua</w:t>
      </w:r>
      <w:r>
        <w:t xml:space="preserve">lmente cuenta con número de teléfono cuarenta y cinco millones seiscientos cuatro mil trescientos noventa y tres (45604393), correo electrónico: </w:t>
      </w:r>
      <w:hyperlink r:id="rId10">
        <w:r>
          <w:rPr>
            <w:color w:val="0563C1"/>
            <w:u w:val="single"/>
          </w:rPr>
          <w:t>esanchez@unicef.org</w:t>
        </w:r>
      </w:hyperlink>
      <w:r>
        <w:t xml:space="preserve"> </w:t>
      </w:r>
      <w:r>
        <w:rPr>
          <w:b/>
        </w:rPr>
        <w:t>DECIMO CUARTA: ACEPTACIÓN.</w:t>
      </w:r>
      <w:r>
        <w:t xml:space="preserve"> Las partes coopera</w:t>
      </w:r>
      <w:r>
        <w:t xml:space="preserve">ntes hacemos constar que leímos el contenido íntegro del presente Adenda a la Carta de Entendimiento y que, enterados de su contenido, objeto, validez, y efectos legales, lo aceptamos, ratificamos y firmamos en tres (3) ejemplares originales, compuesto de </w:t>
      </w:r>
      <w:r>
        <w:t>cinco (5) hojas tamaño carta, impresas únicamente en su anverso con el membrete de las tres instituciones. En la ciudad de Guatemala a los once (11) días del mes de noviembre del año dos mil veinticuatro (2024).</w:t>
      </w:r>
    </w:p>
    <w:p w14:paraId="1D29DF2C" w14:textId="77777777" w:rsidR="00E44D88" w:rsidRDefault="00E44D88">
      <w:pPr>
        <w:jc w:val="both"/>
      </w:pPr>
    </w:p>
    <w:p w14:paraId="6A63635D" w14:textId="77777777" w:rsidR="00E44D88" w:rsidRDefault="00E44D88">
      <w:pPr>
        <w:jc w:val="both"/>
      </w:pPr>
    </w:p>
    <w:p w14:paraId="01E7D276" w14:textId="77777777" w:rsidR="00E44D88" w:rsidRDefault="00E44D88">
      <w:pPr>
        <w:jc w:val="both"/>
      </w:pPr>
    </w:p>
    <w:p w14:paraId="3581AD05" w14:textId="77777777" w:rsidR="00E44D88" w:rsidRDefault="00E44D88">
      <w:pPr>
        <w:jc w:val="both"/>
      </w:pPr>
    </w:p>
    <w:tbl>
      <w:tblPr>
        <w:tblStyle w:val="a0"/>
        <w:tblpPr w:leftFromText="141" w:rightFromText="141" w:vertAnchor="text" w:tblpY="95"/>
        <w:tblW w:w="9794" w:type="dxa"/>
        <w:tblInd w:w="0" w:type="dxa"/>
        <w:tblLayout w:type="fixed"/>
        <w:tblLook w:val="0400" w:firstRow="0" w:lastRow="0" w:firstColumn="0" w:lastColumn="0" w:noHBand="0" w:noVBand="1"/>
      </w:tblPr>
      <w:tblGrid>
        <w:gridCol w:w="4897"/>
        <w:gridCol w:w="4897"/>
      </w:tblGrid>
      <w:tr w:rsidR="00E44D88" w14:paraId="7753A575" w14:textId="77777777">
        <w:tc>
          <w:tcPr>
            <w:tcW w:w="4897" w:type="dxa"/>
            <w:shd w:val="clear" w:color="auto" w:fill="auto"/>
          </w:tcPr>
          <w:p w14:paraId="4AD75C7B" w14:textId="77777777" w:rsidR="00E44D88" w:rsidRDefault="004567E0">
            <w:pPr>
              <w:spacing w:after="0" w:line="240" w:lineRule="auto"/>
              <w:ind w:left="142"/>
            </w:pPr>
            <w:r>
              <w:t>__________________________________</w:t>
            </w:r>
          </w:p>
          <w:p w14:paraId="4303A5FD" w14:textId="77777777" w:rsidR="00E44D88" w:rsidRDefault="00E44D88">
            <w:pPr>
              <w:spacing w:after="0" w:line="240" w:lineRule="auto"/>
              <w:jc w:val="center"/>
            </w:pPr>
          </w:p>
          <w:p w14:paraId="7E03A370" w14:textId="77777777" w:rsidR="00E44D88" w:rsidRDefault="004567E0">
            <w:pPr>
              <w:spacing w:after="0" w:line="240" w:lineRule="auto"/>
            </w:pPr>
            <w:r>
              <w:t xml:space="preserve">    </w:t>
            </w:r>
            <w:r>
              <w:t xml:space="preserve">              ALFREDO DANILO RIVERA</w:t>
            </w:r>
          </w:p>
          <w:p w14:paraId="6CA1F94B" w14:textId="77777777" w:rsidR="00E44D88" w:rsidRDefault="004567E0">
            <w:pPr>
              <w:spacing w:after="0" w:line="240" w:lineRule="auto"/>
            </w:pPr>
            <w:r>
              <w:t xml:space="preserve">         Instituto Guatemalteco de Migración</w:t>
            </w:r>
          </w:p>
        </w:tc>
        <w:tc>
          <w:tcPr>
            <w:tcW w:w="4897" w:type="dxa"/>
            <w:shd w:val="clear" w:color="auto" w:fill="auto"/>
          </w:tcPr>
          <w:p w14:paraId="1CE5AAF5" w14:textId="77777777" w:rsidR="00E44D88" w:rsidRDefault="004567E0">
            <w:pPr>
              <w:spacing w:line="360" w:lineRule="auto"/>
              <w:ind w:left="142"/>
            </w:pPr>
            <w:r>
              <w:t>__________________________________</w:t>
            </w:r>
          </w:p>
          <w:p w14:paraId="31DC4475" w14:textId="77777777" w:rsidR="00E44D88" w:rsidRDefault="004567E0">
            <w:pPr>
              <w:spacing w:after="0" w:line="240" w:lineRule="auto"/>
              <w:ind w:left="142"/>
            </w:pPr>
            <w:r>
              <w:t xml:space="preserve">      MARÍA ELENA CÁCERES RODRÍGUEZ</w:t>
            </w:r>
          </w:p>
          <w:p w14:paraId="6A3B12F8" w14:textId="77777777" w:rsidR="00E44D88" w:rsidRDefault="004567E0">
            <w:pPr>
              <w:spacing w:after="0" w:line="240" w:lineRule="auto"/>
              <w:ind w:left="142"/>
            </w:pPr>
            <w:r>
              <w:t xml:space="preserve">          Asociación Médicos del Mundo</w:t>
            </w:r>
          </w:p>
        </w:tc>
      </w:tr>
      <w:tr w:rsidR="00E44D88" w14:paraId="4D4E57A7" w14:textId="77777777">
        <w:tc>
          <w:tcPr>
            <w:tcW w:w="9794" w:type="dxa"/>
            <w:gridSpan w:val="2"/>
            <w:shd w:val="clear" w:color="auto" w:fill="auto"/>
          </w:tcPr>
          <w:p w14:paraId="5EFF72E3" w14:textId="77777777" w:rsidR="00E44D88" w:rsidRDefault="004567E0">
            <w:pPr>
              <w:tabs>
                <w:tab w:val="left" w:pos="3345"/>
              </w:tabs>
              <w:spacing w:line="360" w:lineRule="auto"/>
              <w:jc w:val="both"/>
              <w:rPr>
                <w:b/>
              </w:rPr>
            </w:pPr>
            <w:r>
              <w:rPr>
                <w:b/>
              </w:rPr>
              <w:tab/>
            </w:r>
          </w:p>
          <w:p w14:paraId="08E75233" w14:textId="77777777" w:rsidR="00E44D88" w:rsidRDefault="00E44D88">
            <w:pPr>
              <w:tabs>
                <w:tab w:val="left" w:pos="3345"/>
              </w:tabs>
              <w:spacing w:line="360" w:lineRule="auto"/>
              <w:jc w:val="both"/>
              <w:rPr>
                <w:b/>
              </w:rPr>
            </w:pPr>
          </w:p>
          <w:p w14:paraId="2D4918F0" w14:textId="77777777" w:rsidR="00E44D88" w:rsidRDefault="00E44D88">
            <w:pPr>
              <w:tabs>
                <w:tab w:val="left" w:pos="3345"/>
              </w:tabs>
              <w:spacing w:line="360" w:lineRule="auto"/>
              <w:jc w:val="both"/>
              <w:rPr>
                <w:b/>
              </w:rPr>
            </w:pPr>
          </w:p>
          <w:p w14:paraId="684E81AE" w14:textId="77777777" w:rsidR="00E44D88" w:rsidRDefault="00E44D88">
            <w:pPr>
              <w:tabs>
                <w:tab w:val="left" w:pos="3345"/>
              </w:tabs>
              <w:spacing w:line="360" w:lineRule="auto"/>
              <w:jc w:val="both"/>
              <w:rPr>
                <w:b/>
              </w:rPr>
            </w:pPr>
          </w:p>
          <w:p w14:paraId="26D1EFE4" w14:textId="77777777" w:rsidR="00E44D88" w:rsidRDefault="004567E0">
            <w:pPr>
              <w:spacing w:line="360" w:lineRule="auto"/>
              <w:ind w:left="142"/>
              <w:jc w:val="center"/>
              <w:rPr>
                <w:b/>
              </w:rPr>
            </w:pPr>
            <w:r>
              <w:t>__________________________________</w:t>
            </w:r>
            <w:r>
              <w:rPr>
                <w:noProof/>
              </w:rPr>
              <mc:AlternateContent>
                <mc:Choice Requires="wps">
                  <w:drawing>
                    <wp:anchor distT="0" distB="0" distL="114300" distR="114300" simplePos="0" relativeHeight="251658240" behindDoc="0" locked="0" layoutInCell="1" hidden="0" allowOverlap="1" wp14:anchorId="73EBE1A3" wp14:editId="3B3C1E81">
                      <wp:simplePos x="0" y="0"/>
                      <wp:positionH relativeFrom="column">
                        <wp:posOffset>1803400</wp:posOffset>
                      </wp:positionH>
                      <wp:positionV relativeFrom="paragraph">
                        <wp:posOffset>25400</wp:posOffset>
                      </wp:positionV>
                      <wp:extent cx="9525" cy="12700"/>
                      <wp:effectExtent l="0" t="0" r="0" b="0"/>
                      <wp:wrapNone/>
                      <wp:docPr id="51" name="Conector recto de flecha 51"/>
                      <wp:cNvGraphicFramePr/>
                      <a:graphic xmlns:a="http://schemas.openxmlformats.org/drawingml/2006/main">
                        <a:graphicData uri="http://schemas.microsoft.com/office/word/2010/wordprocessingShape">
                          <wps:wsp>
                            <wps:cNvCnPr/>
                            <wps:spPr>
                              <a:xfrm>
                                <a:off x="4198238" y="3775238"/>
                                <a:ext cx="2295525" cy="9525"/>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1803400</wp:posOffset>
                      </wp:positionH>
                      <wp:positionV relativeFrom="paragraph">
                        <wp:posOffset>25400</wp:posOffset>
                      </wp:positionV>
                      <wp:extent cx="9525" cy="12700"/>
                      <wp:effectExtent b="0" l="0" r="0" t="0"/>
                      <wp:wrapNone/>
                      <wp:docPr id="5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9525" cy="12700"/>
                              </a:xfrm>
                              <a:prstGeom prst="rect"/>
                              <a:ln/>
                            </pic:spPr>
                          </pic:pic>
                        </a:graphicData>
                      </a:graphic>
                    </wp:anchor>
                  </w:drawing>
                </mc:Fallback>
              </mc:AlternateContent>
            </w:r>
          </w:p>
          <w:p w14:paraId="5EECC515" w14:textId="77777777" w:rsidR="00E44D88" w:rsidRDefault="004567E0">
            <w:pPr>
              <w:spacing w:after="0" w:line="240" w:lineRule="auto"/>
              <w:jc w:val="center"/>
              <w:rPr>
                <w:b/>
              </w:rPr>
            </w:pPr>
            <w:r>
              <w:t>MANUEL RODRÍGUEZ PUMAROL</w:t>
            </w:r>
          </w:p>
          <w:p w14:paraId="3C51ACDE" w14:textId="77777777" w:rsidR="00E44D88" w:rsidRDefault="004567E0">
            <w:pPr>
              <w:spacing w:after="0" w:line="240" w:lineRule="auto"/>
              <w:ind w:left="-142"/>
              <w:jc w:val="center"/>
            </w:pPr>
            <w:r>
              <w:t>Fondo de las Naciones Unidas para la Infancia</w:t>
            </w:r>
          </w:p>
          <w:p w14:paraId="24618C41" w14:textId="77777777" w:rsidR="00E44D88" w:rsidRDefault="004567E0">
            <w:pPr>
              <w:spacing w:after="0" w:line="240" w:lineRule="auto"/>
              <w:ind w:left="-142"/>
              <w:jc w:val="center"/>
            </w:pPr>
            <w:r>
              <w:t>UNICEF</w:t>
            </w:r>
          </w:p>
        </w:tc>
      </w:tr>
    </w:tbl>
    <w:p w14:paraId="51858ACB" w14:textId="77777777" w:rsidR="00E44D88" w:rsidRDefault="00E44D88">
      <w:pPr>
        <w:jc w:val="both"/>
        <w:rPr>
          <w:sz w:val="20"/>
          <w:szCs w:val="20"/>
        </w:rPr>
      </w:pPr>
    </w:p>
    <w:p w14:paraId="0B2A6185" w14:textId="77777777" w:rsidR="00E44D88" w:rsidRDefault="00E44D88">
      <w:pPr>
        <w:jc w:val="both"/>
        <w:rPr>
          <w:sz w:val="20"/>
          <w:szCs w:val="20"/>
        </w:rPr>
      </w:pPr>
    </w:p>
    <w:sectPr w:rsidR="00E44D88">
      <w:headerReference w:type="default" r:id="rId12"/>
      <w:pgSz w:w="12240" w:h="15840"/>
      <w:pgMar w:top="1984" w:right="1440" w:bottom="195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1FC6" w14:textId="77777777" w:rsidR="00F1647F" w:rsidRDefault="00F1647F">
      <w:pPr>
        <w:spacing w:after="0" w:line="240" w:lineRule="auto"/>
      </w:pPr>
      <w:r>
        <w:separator/>
      </w:r>
    </w:p>
  </w:endnote>
  <w:endnote w:type="continuationSeparator" w:id="0">
    <w:p w14:paraId="1A799080" w14:textId="77777777" w:rsidR="00F1647F" w:rsidRDefault="00F1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856B" w14:textId="77777777" w:rsidR="00F1647F" w:rsidRDefault="00F1647F">
      <w:pPr>
        <w:spacing w:after="0" w:line="240" w:lineRule="auto"/>
      </w:pPr>
      <w:r>
        <w:separator/>
      </w:r>
    </w:p>
  </w:footnote>
  <w:footnote w:type="continuationSeparator" w:id="0">
    <w:p w14:paraId="1C10267F" w14:textId="77777777" w:rsidR="00F1647F" w:rsidRDefault="00F16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1969" w14:textId="537BFD1D" w:rsidR="00E44D88" w:rsidRDefault="00286693">
    <w:pPr>
      <w:tabs>
        <w:tab w:val="center" w:pos="4153"/>
        <w:tab w:val="right" w:pos="8306"/>
      </w:tabs>
      <w:spacing w:after="0" w:line="240" w:lineRule="auto"/>
    </w:pPr>
    <w:r>
      <w:rPr>
        <w:noProof/>
      </w:rPr>
      <w:drawing>
        <wp:anchor distT="0" distB="0" distL="114300" distR="114300" simplePos="0" relativeHeight="251658240" behindDoc="0" locked="0" layoutInCell="1" hidden="0" allowOverlap="1" wp14:anchorId="66929FB0" wp14:editId="154A3DD3">
          <wp:simplePos x="0" y="0"/>
          <wp:positionH relativeFrom="column">
            <wp:posOffset>4933950</wp:posOffset>
          </wp:positionH>
          <wp:positionV relativeFrom="paragraph">
            <wp:posOffset>-333375</wp:posOffset>
          </wp:positionV>
          <wp:extent cx="933450" cy="923925"/>
          <wp:effectExtent l="0" t="0" r="0" b="9525"/>
          <wp:wrapSquare wrapText="bothSides" distT="0" distB="0" distL="114300" distR="114300"/>
          <wp:docPr id="52" name="image2.png" descr="Médicos del Mundo: Luchamos por el derecho a la salud"/>
          <wp:cNvGraphicFramePr/>
          <a:graphic xmlns:a="http://schemas.openxmlformats.org/drawingml/2006/main">
            <a:graphicData uri="http://schemas.openxmlformats.org/drawingml/2006/picture">
              <pic:pic xmlns:pic="http://schemas.openxmlformats.org/drawingml/2006/picture">
                <pic:nvPicPr>
                  <pic:cNvPr id="0" name="image2.png" descr="Médicos del Mundo: Luchamos por el derecho a la salud"/>
                  <pic:cNvPicPr preferRelativeResize="0"/>
                </pic:nvPicPr>
                <pic:blipFill>
                  <a:blip r:embed="rId1"/>
                  <a:srcRect/>
                  <a:stretch>
                    <a:fillRect/>
                  </a:stretch>
                </pic:blipFill>
                <pic:spPr>
                  <a:xfrm>
                    <a:off x="0" y="0"/>
                    <a:ext cx="933450" cy="92392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0288" behindDoc="0" locked="0" layoutInCell="1" hidden="0" allowOverlap="1" wp14:anchorId="141C4A75" wp14:editId="65120773">
          <wp:simplePos x="0" y="0"/>
          <wp:positionH relativeFrom="column">
            <wp:posOffset>2332990</wp:posOffset>
          </wp:positionH>
          <wp:positionV relativeFrom="paragraph">
            <wp:posOffset>-180975</wp:posOffset>
          </wp:positionV>
          <wp:extent cx="1318895" cy="771525"/>
          <wp:effectExtent l="0" t="0" r="0" b="9525"/>
          <wp:wrapSquare wrapText="bothSides" distT="0" distB="0" distL="0" distR="0"/>
          <wp:docPr id="53" name="image3.jpg" descr="Instituto Guatemalteco de Migración – Institución de seguridad encargada de  controlar, verificar y garantizar a nacionales y extranjeros, su entrada,  permanencia y salida del territorio guatemalteco."/>
          <wp:cNvGraphicFramePr/>
          <a:graphic xmlns:a="http://schemas.openxmlformats.org/drawingml/2006/main">
            <a:graphicData uri="http://schemas.openxmlformats.org/drawingml/2006/picture">
              <pic:pic xmlns:pic="http://schemas.openxmlformats.org/drawingml/2006/picture">
                <pic:nvPicPr>
                  <pic:cNvPr id="0" name="image3.jpg" descr="Instituto Guatemalteco de Migración – Institución de seguridad encargada de  controlar, verificar y garantizar a nacionales y extranjeros, su entrada,  permanencia y salida del territorio guatemalteco."/>
                  <pic:cNvPicPr preferRelativeResize="0"/>
                </pic:nvPicPr>
                <pic:blipFill>
                  <a:blip r:embed="rId2"/>
                  <a:srcRect/>
                  <a:stretch>
                    <a:fillRect/>
                  </a:stretch>
                </pic:blipFill>
                <pic:spPr>
                  <a:xfrm>
                    <a:off x="0" y="0"/>
                    <a:ext cx="1318895" cy="771525"/>
                  </a:xfrm>
                  <a:prstGeom prst="rect">
                    <a:avLst/>
                  </a:prstGeom>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1312" behindDoc="0" locked="0" layoutInCell="1" allowOverlap="1" wp14:anchorId="6F9634A0" wp14:editId="5F3E5FF1">
          <wp:simplePos x="0" y="0"/>
          <wp:positionH relativeFrom="column">
            <wp:posOffset>0</wp:posOffset>
          </wp:positionH>
          <wp:positionV relativeFrom="paragraph">
            <wp:posOffset>-180975</wp:posOffset>
          </wp:positionV>
          <wp:extent cx="1295343" cy="704850"/>
          <wp:effectExtent l="0" t="0" r="0" b="0"/>
          <wp:wrapNone/>
          <wp:docPr id="19219683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343" cy="7048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453B9"/>
    <w:multiLevelType w:val="multilevel"/>
    <w:tmpl w:val="49C6A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D88"/>
    <w:rsid w:val="00286693"/>
    <w:rsid w:val="003314FE"/>
    <w:rsid w:val="004567E0"/>
    <w:rsid w:val="00733165"/>
    <w:rsid w:val="00984239"/>
    <w:rsid w:val="00E44D88"/>
    <w:rsid w:val="00F164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F186"/>
  <w15:docId w15:val="{2AC271D0-1825-46DC-9B8B-BD9CF54B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GT"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6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F86856"/>
    <w:pPr>
      <w:ind w:left="720"/>
      <w:contextualSpacing/>
    </w:pPr>
  </w:style>
  <w:style w:type="table" w:styleId="Tablaconcuadrcula">
    <w:name w:val="Table Grid"/>
    <w:basedOn w:val="Tablanormal"/>
    <w:uiPriority w:val="39"/>
    <w:rsid w:val="00F86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8F044F"/>
  </w:style>
  <w:style w:type="character" w:styleId="Hipervnculo">
    <w:name w:val="Hyperlink"/>
    <w:basedOn w:val="Fuentedeprrafopredeter"/>
    <w:uiPriority w:val="99"/>
    <w:unhideWhenUsed/>
    <w:rsid w:val="00F67432"/>
    <w:rPr>
      <w:color w:val="0563C1" w:themeColor="hyperlink"/>
      <w:u w:val="single"/>
    </w:rPr>
  </w:style>
  <w:style w:type="character" w:customStyle="1" w:styleId="Mencinsinresolver1">
    <w:name w:val="Mención sin resolver1"/>
    <w:basedOn w:val="Fuentedeprrafopredeter"/>
    <w:uiPriority w:val="99"/>
    <w:semiHidden/>
    <w:unhideWhenUsed/>
    <w:rsid w:val="00F67432"/>
    <w:rPr>
      <w:color w:val="605E5C"/>
      <w:shd w:val="clear" w:color="auto" w:fill="E1DFDD"/>
    </w:rPr>
  </w:style>
  <w:style w:type="character" w:customStyle="1" w:styleId="Ninguno">
    <w:name w:val="Ninguno"/>
    <w:qFormat/>
    <w:rsid w:val="00D767DD"/>
  </w:style>
  <w:style w:type="character" w:styleId="Refdecomentario">
    <w:name w:val="annotation reference"/>
    <w:basedOn w:val="Fuentedeprrafopredeter"/>
    <w:uiPriority w:val="99"/>
    <w:semiHidden/>
    <w:unhideWhenUsed/>
    <w:rsid w:val="00D078A6"/>
    <w:rPr>
      <w:sz w:val="16"/>
      <w:szCs w:val="16"/>
    </w:rPr>
  </w:style>
  <w:style w:type="paragraph" w:styleId="Textocomentario">
    <w:name w:val="annotation text"/>
    <w:basedOn w:val="Normal"/>
    <w:link w:val="TextocomentarioCar"/>
    <w:uiPriority w:val="99"/>
    <w:semiHidden/>
    <w:unhideWhenUsed/>
    <w:rsid w:val="00D078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78A6"/>
    <w:rPr>
      <w:sz w:val="20"/>
      <w:szCs w:val="20"/>
    </w:rPr>
  </w:style>
  <w:style w:type="paragraph" w:styleId="Asuntodelcomentario">
    <w:name w:val="annotation subject"/>
    <w:basedOn w:val="Textocomentario"/>
    <w:next w:val="Textocomentario"/>
    <w:link w:val="AsuntodelcomentarioCar"/>
    <w:uiPriority w:val="99"/>
    <w:semiHidden/>
    <w:unhideWhenUsed/>
    <w:rsid w:val="00D078A6"/>
    <w:rPr>
      <w:b/>
      <w:bCs/>
    </w:rPr>
  </w:style>
  <w:style w:type="character" w:customStyle="1" w:styleId="AsuntodelcomentarioCar">
    <w:name w:val="Asunto del comentario Car"/>
    <w:basedOn w:val="TextocomentarioCar"/>
    <w:link w:val="Asuntodelcomentario"/>
    <w:uiPriority w:val="99"/>
    <w:semiHidden/>
    <w:rsid w:val="00D078A6"/>
    <w:rPr>
      <w:b/>
      <w:bCs/>
      <w:sz w:val="20"/>
      <w:szCs w:val="20"/>
    </w:rPr>
  </w:style>
  <w:style w:type="paragraph" w:styleId="Revisin">
    <w:name w:val="Revision"/>
    <w:hidden/>
    <w:uiPriority w:val="99"/>
    <w:semiHidden/>
    <w:rsid w:val="003A540E"/>
    <w:pPr>
      <w:spacing w:after="0" w:line="240" w:lineRule="auto"/>
    </w:pPr>
  </w:style>
  <w:style w:type="paragraph" w:styleId="Textodeglobo">
    <w:name w:val="Balloon Text"/>
    <w:basedOn w:val="Normal"/>
    <w:link w:val="TextodegloboCar"/>
    <w:uiPriority w:val="99"/>
    <w:semiHidden/>
    <w:unhideWhenUsed/>
    <w:rsid w:val="00F74B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4B78"/>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2866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693"/>
  </w:style>
  <w:style w:type="paragraph" w:styleId="Piedepgina">
    <w:name w:val="footer"/>
    <w:basedOn w:val="Normal"/>
    <w:link w:val="PiedepginaCar"/>
    <w:uiPriority w:val="99"/>
    <w:unhideWhenUsed/>
    <w:rsid w:val="00286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movilidadhumana.gt@medicosdelmund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mailto:esanchez@unicef.org" TargetMode="External"/><Relationship Id="rId4" Type="http://schemas.openxmlformats.org/officeDocument/2006/relationships/settings" Target="settings.xml"/><Relationship Id="rId9" Type="http://schemas.openxmlformats.org/officeDocument/2006/relationships/hyperlink" Target="mailto:jsolorzano@unicef.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t2HpnhKFLBcAF7QEooD8HZsMbg==">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2679</Words>
  <Characters>14740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Estuardo Sanchez</dc:creator>
  <cp:lastModifiedBy>Héctor Anibal de León Rojas</cp:lastModifiedBy>
  <cp:revision>2</cp:revision>
  <cp:lastPrinted>2024-11-11T19:05:00Z</cp:lastPrinted>
  <dcterms:created xsi:type="dcterms:W3CDTF">2024-12-05T15:50:00Z</dcterms:created>
  <dcterms:modified xsi:type="dcterms:W3CDTF">2024-12-05T15:50:00Z</dcterms:modified>
</cp:coreProperties>
</file>