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D83270"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 TÉCNICA</w:t>
      </w:r>
      <w:r w:rsidRPr="003F2FE9">
        <w:rPr>
          <w:rFonts w:ascii="Lato" w:eastAsia="Lato" w:hAnsi="Lato" w:cstheme="minorHAnsi"/>
          <w:b/>
          <w:sz w:val="20"/>
          <w:szCs w:val="20"/>
          <w:vertAlign w:val="superscript"/>
        </w:rPr>
        <w:footnoteReference w:id="1"/>
      </w:r>
      <w:r w:rsidRPr="003F2FE9">
        <w:rPr>
          <w:rFonts w:ascii="Lato" w:eastAsia="Lato" w:hAnsi="Lato" w:cstheme="minorHAnsi"/>
          <w:b/>
          <w:sz w:val="20"/>
          <w:szCs w:val="20"/>
        </w:rPr>
        <w:t>:</w:t>
      </w:r>
    </w:p>
    <w:p w14:paraId="1F72A2FF" w14:textId="668C8BD8" w:rsidR="00F83A56" w:rsidRPr="003F2FE9" w:rsidRDefault="00F83A56" w:rsidP="00F73AF8">
      <w:pPr>
        <w:spacing w:after="19"/>
        <w:ind w:right="11"/>
        <w:rPr>
          <w:rFonts w:ascii="Lato" w:hAnsi="Lato"/>
          <w:sz w:val="20"/>
          <w:szCs w:val="20"/>
        </w:rPr>
      </w:pPr>
      <w:r w:rsidRPr="003F2FE9">
        <w:rPr>
          <w:rFonts w:ascii="Lato" w:hAnsi="Lato"/>
          <w:b/>
          <w:sz w:val="20"/>
          <w:szCs w:val="20"/>
        </w:rPr>
        <w:t>ASISTEN</w:t>
      </w:r>
      <w:r w:rsidR="003F2FE9">
        <w:rPr>
          <w:rFonts w:ascii="Lato" w:hAnsi="Lato"/>
          <w:b/>
          <w:sz w:val="20"/>
          <w:szCs w:val="20"/>
        </w:rPr>
        <w:t>CI</w:t>
      </w:r>
      <w:r w:rsidRPr="003F2FE9">
        <w:rPr>
          <w:rFonts w:ascii="Lato" w:hAnsi="Lato"/>
          <w:b/>
          <w:sz w:val="20"/>
          <w:szCs w:val="20"/>
        </w:rPr>
        <w:t xml:space="preserve">A TÉCNICA I, IMPLEMENTACIÓN Y SOCIALIZACIÓN DE LA POLÍTICA MIGRATORIA  </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Licenciada Rosmery Alejandra Ochoa Roque</w:t>
      </w:r>
    </w:p>
    <w:p w14:paraId="00000007" w14:textId="1BD7B70C" w:rsidR="00856DC1"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E623B7">
        <w:rPr>
          <w:rFonts w:ascii="Lato" w:eastAsia="Lato" w:hAnsi="Lato" w:cstheme="minorHAnsi"/>
          <w:sz w:val="20"/>
          <w:szCs w:val="20"/>
        </w:rPr>
        <w:t>noviem</w:t>
      </w:r>
      <w:r w:rsidR="002667DF" w:rsidRPr="003F2FE9">
        <w:rPr>
          <w:rFonts w:ascii="Lato" w:eastAsia="Lato" w:hAnsi="Lato" w:cstheme="minorHAnsi"/>
          <w:sz w:val="20"/>
          <w:szCs w:val="20"/>
        </w:rPr>
        <w:t>bre</w:t>
      </w:r>
      <w:r w:rsidR="00D21E39" w:rsidRPr="003F2FE9">
        <w:rPr>
          <w:rFonts w:ascii="Lato" w:eastAsia="Lato" w:hAnsi="Lato" w:cstheme="minorHAnsi"/>
          <w:sz w:val="20"/>
          <w:szCs w:val="20"/>
        </w:rPr>
        <w:t xml:space="preserve"> de 2024</w:t>
      </w:r>
    </w:p>
    <w:p w14:paraId="14DF7292" w14:textId="77777777" w:rsidR="00F73AF8" w:rsidRPr="00F73AF8" w:rsidRDefault="00F73AF8">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03F1A87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la ejecución de referida Política es coordinada por el Instituto Guatemalteco de Migración</w:t>
      </w:r>
      <w:r w:rsidR="00D04FA0">
        <w:rPr>
          <w:rFonts w:ascii="Lato" w:hAnsi="Lato" w:cstheme="minorHAnsi"/>
          <w:sz w:val="20"/>
          <w:szCs w:val="20"/>
        </w:rPr>
        <w:t>.</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coordinar a nivel interinstitucional con entidades 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 xml:space="preserve">olicitar colaboración a instituciones nacionales e internacionales para la ejecución eficaz y </w:t>
      </w:r>
      <w:r w:rsidR="002A20C6" w:rsidRPr="00F7267B">
        <w:rPr>
          <w:rFonts w:ascii="Lato" w:hAnsi="Lato"/>
          <w:i/>
          <w:color w:val="000000" w:themeColor="text1"/>
          <w:sz w:val="20"/>
          <w:szCs w:val="20"/>
        </w:rPr>
        <w:lastRenderedPageBreak/>
        <w:t>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1C5BDBCB" w14:textId="7D2C7F31" w:rsidR="00FE25D0" w:rsidRDefault="00F7267B" w:rsidP="00F73AF8">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2F186BB8" w14:textId="77777777" w:rsidR="00F73AF8" w:rsidRPr="00FE25D0" w:rsidRDefault="00F73AF8" w:rsidP="00F73AF8">
      <w:pPr>
        <w:ind w:left="720"/>
        <w:jc w:val="both"/>
        <w:rPr>
          <w:rFonts w:ascii="Lato" w:hAnsi="Lato"/>
          <w:sz w:val="20"/>
          <w:szCs w:val="20"/>
        </w:rPr>
      </w:pP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19E80C49" w:rsidR="00407DB2" w:rsidRPr="003F2FE9" w:rsidRDefault="0093088D" w:rsidP="00407DB2">
      <w:pPr>
        <w:ind w:left="144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implementación y </w:t>
      </w:r>
      <w:r w:rsidR="00922033">
        <w:rPr>
          <w:rFonts w:ascii="Lato" w:hAnsi="Lato"/>
          <w:sz w:val="20"/>
          <w:szCs w:val="20"/>
        </w:rPr>
        <w:t>socialización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p>
    <w:p w14:paraId="26BAF28A" w14:textId="77777777" w:rsidR="00407DB2" w:rsidRPr="003F2FE9" w:rsidRDefault="00407DB2" w:rsidP="00407DB2">
      <w:pPr>
        <w:ind w:left="1440"/>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58AF8EB7" w14:textId="6B43563C" w:rsidR="00164899" w:rsidRPr="00C43ED4" w:rsidRDefault="00164899" w:rsidP="00164899">
      <w:pPr>
        <w:pStyle w:val="Prrafodelista"/>
        <w:ind w:left="1440"/>
        <w:jc w:val="both"/>
        <w:rPr>
          <w:rFonts w:ascii="Lato" w:hAnsi="Lato"/>
          <w:sz w:val="20"/>
          <w:szCs w:val="20"/>
        </w:rPr>
      </w:pPr>
      <w:r w:rsidRPr="00C43ED4">
        <w:rPr>
          <w:rFonts w:ascii="Lato" w:hAnsi="Lato"/>
          <w:sz w:val="20"/>
          <w:szCs w:val="20"/>
        </w:rPr>
        <w:t>Coadyuvar en la realización sistemática de acciones necesarias para la priorización</w:t>
      </w:r>
      <w:r w:rsidR="00E0041A" w:rsidRPr="00C43ED4">
        <w:rPr>
          <w:rFonts w:ascii="Lato" w:hAnsi="Lato"/>
          <w:sz w:val="20"/>
          <w:szCs w:val="20"/>
        </w:rPr>
        <w:t xml:space="preserve"> de actividades</w:t>
      </w:r>
      <w:r w:rsidRPr="00C43ED4">
        <w:rPr>
          <w:rFonts w:ascii="Lato" w:hAnsi="Lato"/>
          <w:sz w:val="20"/>
          <w:szCs w:val="20"/>
        </w:rPr>
        <w:t xml:space="preserve">, implementación y ejecución de </w:t>
      </w:r>
      <w:r w:rsidR="00C43ED4">
        <w:rPr>
          <w:rFonts w:ascii="Lato" w:hAnsi="Lato"/>
          <w:sz w:val="20"/>
          <w:szCs w:val="20"/>
        </w:rPr>
        <w:t>la Política Migratoria</w:t>
      </w:r>
      <w:r w:rsidRPr="00C43ED4">
        <w:rPr>
          <w:rFonts w:ascii="Lato" w:hAnsi="Lato"/>
          <w:sz w:val="20"/>
          <w:szCs w:val="20"/>
        </w:rPr>
        <w:t>.</w:t>
      </w:r>
    </w:p>
    <w:p w14:paraId="72F1CFE7" w14:textId="2EE72706" w:rsidR="00164899" w:rsidRPr="00C43ED4" w:rsidRDefault="00334BB2" w:rsidP="00C43ED4">
      <w:pPr>
        <w:ind w:left="1440"/>
        <w:jc w:val="both"/>
        <w:rPr>
          <w:rFonts w:ascii="Lato" w:hAnsi="Lato"/>
          <w:sz w:val="20"/>
          <w:szCs w:val="20"/>
        </w:rPr>
      </w:pPr>
      <w:r>
        <w:rPr>
          <w:rFonts w:ascii="Lato" w:hAnsi="Lato"/>
          <w:sz w:val="20"/>
          <w:szCs w:val="20"/>
        </w:rPr>
        <w:t>Contribuir en procesos que permitan d</w:t>
      </w:r>
      <w:r w:rsidR="00164899" w:rsidRPr="00C43ED4">
        <w:rPr>
          <w:rFonts w:ascii="Lato" w:hAnsi="Lato"/>
          <w:sz w:val="20"/>
          <w:szCs w:val="20"/>
        </w:rPr>
        <w:t xml:space="preserve">ar a conocer </w:t>
      </w:r>
      <w:r w:rsidR="00E0041A" w:rsidRPr="00C43ED4">
        <w:rPr>
          <w:rFonts w:ascii="Lato" w:hAnsi="Lato"/>
          <w:sz w:val="20"/>
          <w:szCs w:val="20"/>
        </w:rPr>
        <w:t>el contenido y alcance de la Política Migratoria con actores multisectoriales</w:t>
      </w:r>
      <w:r w:rsidR="007709B1">
        <w:rPr>
          <w:rFonts w:ascii="Lato" w:hAnsi="Lato"/>
          <w:sz w:val="20"/>
          <w:szCs w:val="20"/>
        </w:rPr>
        <w:t>.</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036DA8DC" w14:textId="6E607BE0" w:rsidR="00D21E39" w:rsidRPr="003F2FE9" w:rsidRDefault="00D21E39">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0000001D" w14:textId="067D2755" w:rsidR="00856DC1" w:rsidRDefault="00856DC1">
      <w:pPr>
        <w:jc w:val="both"/>
        <w:rPr>
          <w:rFonts w:ascii="Lato" w:eastAsia="Lato" w:hAnsi="Lato" w:cs="Lato"/>
          <w:sz w:val="20"/>
          <w:szCs w:val="20"/>
        </w:rPr>
      </w:pPr>
    </w:p>
    <w:p w14:paraId="0A5A8B2C" w14:textId="77777777" w:rsidR="004070B2" w:rsidRPr="003F2FE9" w:rsidRDefault="004070B2">
      <w:pPr>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ACTIVIDADES DESARROLLADAS</w:t>
      </w:r>
    </w:p>
    <w:p w14:paraId="7330549C" w14:textId="77777777" w:rsidR="00D21E39" w:rsidRPr="003F2FE9" w:rsidRDefault="00D21E39" w:rsidP="00D21E39">
      <w:pPr>
        <w:numPr>
          <w:ilvl w:val="1"/>
          <w:numId w:val="1"/>
        </w:numPr>
        <w:spacing w:after="29" w:line="268" w:lineRule="auto"/>
        <w:jc w:val="both"/>
        <w:rPr>
          <w:rFonts w:ascii="Lato" w:hAnsi="Lato"/>
          <w:sz w:val="20"/>
          <w:szCs w:val="20"/>
        </w:rPr>
      </w:pPr>
      <w:r w:rsidRPr="003F2FE9">
        <w:rPr>
          <w:rFonts w:ascii="Lato" w:hAnsi="Lato"/>
          <w:sz w:val="20"/>
          <w:szCs w:val="20"/>
        </w:rPr>
        <w:t xml:space="preserve">Apoyo logístico y administrativo en procesos formativos y de diálogo u algunos otros espacios de trabajo. </w:t>
      </w:r>
    </w:p>
    <w:p w14:paraId="202AE134" w14:textId="4A271BD9"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 xml:space="preserve">Elaboración de documentos de apoyo para actividades de la implementación de la Política Migratoria. </w:t>
      </w:r>
    </w:p>
    <w:p w14:paraId="59642DD2" w14:textId="2D753503"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Seguimientos electrónicos, telefónicos y presenciales con actores vinculados a la Política Migratoria.</w:t>
      </w:r>
    </w:p>
    <w:p w14:paraId="00000020" w14:textId="77777777" w:rsidR="00856DC1" w:rsidRPr="003F2FE9" w:rsidRDefault="00856DC1">
      <w:pPr>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t>ACUERDOS Y ACCIONES DE SEGUIMIENTO</w:t>
      </w:r>
    </w:p>
    <w:p w14:paraId="00000023" w14:textId="623FF34B" w:rsidR="00856DC1" w:rsidRPr="004070B2" w:rsidRDefault="008C32F9" w:rsidP="004070B2">
      <w:pPr>
        <w:pStyle w:val="Prrafodelista"/>
        <w:rPr>
          <w:rFonts w:ascii="Lato" w:hAnsi="Lato"/>
          <w:sz w:val="20"/>
          <w:szCs w:val="20"/>
        </w:rPr>
      </w:pPr>
      <w:r>
        <w:rPr>
          <w:rFonts w:ascii="Lato" w:hAnsi="Lato"/>
          <w:sz w:val="20"/>
          <w:szCs w:val="20"/>
        </w:rPr>
        <w:t xml:space="preserve">La </w:t>
      </w:r>
      <w:r w:rsidR="002667DF" w:rsidRPr="003F2FE9">
        <w:rPr>
          <w:rFonts w:ascii="Lato" w:hAnsi="Lato"/>
          <w:sz w:val="20"/>
          <w:szCs w:val="20"/>
        </w:rPr>
        <w:t xml:space="preserve">asistencia técnica fortalece </w:t>
      </w:r>
      <w:r w:rsidR="00EF27A9">
        <w:rPr>
          <w:rFonts w:ascii="Lato" w:hAnsi="Lato"/>
          <w:sz w:val="20"/>
          <w:szCs w:val="20"/>
        </w:rPr>
        <w:t>los resultados</w:t>
      </w:r>
      <w:r w:rsidR="002667DF" w:rsidRPr="003F2FE9">
        <w:rPr>
          <w:rFonts w:ascii="Lato" w:hAnsi="Lato"/>
          <w:sz w:val="20"/>
          <w:szCs w:val="20"/>
        </w:rPr>
        <w:t xml:space="preserve"> en temas </w:t>
      </w:r>
      <w:r w:rsidR="00EF27A9">
        <w:rPr>
          <w:rFonts w:ascii="Lato" w:hAnsi="Lato"/>
          <w:sz w:val="20"/>
          <w:szCs w:val="20"/>
        </w:rPr>
        <w:t xml:space="preserve">de </w:t>
      </w:r>
      <w:r w:rsidR="002667DF" w:rsidRPr="003F2FE9">
        <w:rPr>
          <w:rFonts w:ascii="Lato" w:hAnsi="Lato"/>
          <w:sz w:val="20"/>
          <w:szCs w:val="20"/>
        </w:rPr>
        <w:t xml:space="preserve">gobernanza de la migración.  </w:t>
      </w:r>
    </w:p>
    <w:p w14:paraId="3EDB5C32" w14:textId="77777777" w:rsidR="00F83A56" w:rsidRPr="003F2FE9" w:rsidRDefault="00F83A56">
      <w:pPr>
        <w:jc w:val="both"/>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0313DC0A" w:rsidR="00856DC1" w:rsidRPr="003F2FE9" w:rsidRDefault="00D21E39">
      <w:pPr>
        <w:ind w:left="720"/>
        <w:jc w:val="both"/>
        <w:rPr>
          <w:rFonts w:ascii="Lato" w:eastAsia="Lato" w:hAnsi="Lato" w:cs="Lato"/>
          <w:sz w:val="20"/>
          <w:szCs w:val="20"/>
        </w:rPr>
      </w:pPr>
      <w:r w:rsidRPr="003F2FE9">
        <w:rPr>
          <w:rFonts w:ascii="Lato" w:eastAsia="Lato" w:hAnsi="Lato" w:cs="Lato"/>
          <w:sz w:val="20"/>
          <w:szCs w:val="20"/>
        </w:rPr>
        <w:t>Del 0</w:t>
      </w:r>
      <w:r w:rsidR="00D04FA0">
        <w:rPr>
          <w:rFonts w:ascii="Lato" w:eastAsia="Lato" w:hAnsi="Lato" w:cs="Lato"/>
          <w:sz w:val="20"/>
          <w:szCs w:val="20"/>
        </w:rPr>
        <w:t>1</w:t>
      </w:r>
      <w:r w:rsidRPr="003F2FE9">
        <w:rPr>
          <w:rFonts w:ascii="Lato" w:eastAsia="Lato" w:hAnsi="Lato" w:cs="Lato"/>
          <w:sz w:val="20"/>
          <w:szCs w:val="20"/>
        </w:rPr>
        <w:t xml:space="preserve"> al 3</w:t>
      </w:r>
      <w:r w:rsidR="00E623B7">
        <w:rPr>
          <w:rFonts w:ascii="Lato" w:eastAsia="Lato" w:hAnsi="Lato" w:cs="Lato"/>
          <w:sz w:val="20"/>
          <w:szCs w:val="20"/>
        </w:rPr>
        <w:t>0</w:t>
      </w:r>
      <w:r w:rsidRPr="003F2FE9">
        <w:rPr>
          <w:rFonts w:ascii="Lato" w:eastAsia="Lato" w:hAnsi="Lato" w:cs="Lato"/>
          <w:sz w:val="20"/>
          <w:szCs w:val="20"/>
        </w:rPr>
        <w:t xml:space="preserve"> de </w:t>
      </w:r>
      <w:r w:rsidR="00E623B7">
        <w:rPr>
          <w:rFonts w:ascii="Lato" w:eastAsia="Lato" w:hAnsi="Lato" w:cs="Lato"/>
          <w:sz w:val="20"/>
          <w:szCs w:val="20"/>
        </w:rPr>
        <w:t>noviem</w:t>
      </w:r>
      <w:r w:rsidRPr="003F2FE9">
        <w:rPr>
          <w:rFonts w:ascii="Lato" w:eastAsia="Lato" w:hAnsi="Lato" w:cs="Lato"/>
          <w:sz w:val="20"/>
          <w:szCs w:val="20"/>
        </w:rPr>
        <w:t>bre de 2024</w:t>
      </w:r>
    </w:p>
    <w:p w14:paraId="00000026" w14:textId="77777777" w:rsidR="00856DC1" w:rsidRPr="003F2FE9" w:rsidRDefault="00856DC1">
      <w:pPr>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32455724" w14:textId="6770261E" w:rsidR="004663EA" w:rsidRPr="003F2FE9" w:rsidRDefault="004663EA" w:rsidP="004663EA">
      <w:pPr>
        <w:pStyle w:val="Prrafodelista"/>
        <w:rPr>
          <w:rFonts w:ascii="Lato" w:hAnsi="Lato"/>
          <w:sz w:val="20"/>
          <w:szCs w:val="20"/>
        </w:rPr>
      </w:pPr>
      <w:r w:rsidRPr="003F2FE9">
        <w:rPr>
          <w:rFonts w:ascii="Lato" w:hAnsi="Lato"/>
          <w:sz w:val="20"/>
          <w:szCs w:val="20"/>
        </w:rPr>
        <w:t xml:space="preserve">El monto total por concepto de servicios profesionales </w:t>
      </w:r>
      <w:r w:rsidR="006753DC">
        <w:rPr>
          <w:rFonts w:ascii="Lato" w:hAnsi="Lato"/>
          <w:sz w:val="20"/>
          <w:szCs w:val="20"/>
        </w:rPr>
        <w:t>se detalla a continuación:</w:t>
      </w:r>
    </w:p>
    <w:tbl>
      <w:tblPr>
        <w:tblStyle w:val="TableGrid"/>
        <w:tblW w:w="6863" w:type="dxa"/>
        <w:tblInd w:w="1557" w:type="dxa"/>
        <w:tblCellMar>
          <w:top w:w="47" w:type="dxa"/>
          <w:left w:w="115" w:type="dxa"/>
          <w:right w:w="115" w:type="dxa"/>
        </w:tblCellMar>
        <w:tblLook w:val="04A0" w:firstRow="1" w:lastRow="0" w:firstColumn="1" w:lastColumn="0" w:noHBand="0" w:noVBand="1"/>
      </w:tblPr>
      <w:tblGrid>
        <w:gridCol w:w="2286"/>
        <w:gridCol w:w="2290"/>
        <w:gridCol w:w="2287"/>
      </w:tblGrid>
      <w:tr w:rsidR="004663EA" w:rsidRPr="003F2FE9" w14:paraId="2F99D44E"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41C5050F" w:rsidR="004663EA" w:rsidRPr="003F2FE9" w:rsidRDefault="008C32F9" w:rsidP="009719FE">
            <w:pPr>
              <w:spacing w:line="259" w:lineRule="auto"/>
              <w:ind w:right="5"/>
              <w:jc w:val="center"/>
              <w:rPr>
                <w:rFonts w:ascii="Lato" w:hAnsi="Lato"/>
                <w:sz w:val="20"/>
                <w:szCs w:val="20"/>
              </w:rPr>
            </w:pPr>
            <w:r>
              <w:rPr>
                <w:rFonts w:ascii="Lato" w:eastAsia="Calibri" w:hAnsi="Lato" w:cs="Calibri"/>
                <w:b/>
                <w:sz w:val="20"/>
                <w:szCs w:val="20"/>
              </w:rPr>
              <w:t>Periodo</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4663EA" w:rsidRPr="003F2FE9" w14:paraId="56C56B4A" w14:textId="77777777" w:rsidTr="004663EA">
        <w:trPr>
          <w:trHeight w:val="320"/>
        </w:trPr>
        <w:tc>
          <w:tcPr>
            <w:tcW w:w="2286" w:type="dxa"/>
            <w:tcBorders>
              <w:top w:val="single" w:sz="4" w:space="0" w:color="000000"/>
              <w:left w:val="single" w:sz="4" w:space="0" w:color="000000"/>
              <w:bottom w:val="single" w:sz="4" w:space="0" w:color="000000"/>
              <w:right w:val="single" w:sz="4" w:space="0" w:color="000000"/>
            </w:tcBorders>
          </w:tcPr>
          <w:p w14:paraId="3B728E7A" w14:textId="4445C198" w:rsidR="004663EA" w:rsidRPr="003F2FE9" w:rsidRDefault="00E623B7" w:rsidP="009719FE">
            <w:pPr>
              <w:spacing w:line="259" w:lineRule="auto"/>
              <w:ind w:right="1"/>
              <w:jc w:val="center"/>
              <w:rPr>
                <w:rFonts w:ascii="Lato" w:hAnsi="Lato"/>
                <w:sz w:val="20"/>
                <w:szCs w:val="20"/>
              </w:rPr>
            </w:pPr>
            <w:r>
              <w:rPr>
                <w:rFonts w:ascii="Lato" w:hAnsi="Lato"/>
                <w:sz w:val="20"/>
                <w:szCs w:val="20"/>
              </w:rPr>
              <w:t>noviem</w:t>
            </w:r>
            <w:r w:rsidR="008C32F9">
              <w:rPr>
                <w:rFonts w:ascii="Lato" w:hAnsi="Lato"/>
                <w:sz w:val="20"/>
                <w:szCs w:val="20"/>
              </w:rPr>
              <w:t>bre de 2024</w:t>
            </w:r>
            <w:r w:rsidR="004663EA" w:rsidRPr="003F2FE9">
              <w:rPr>
                <w:rFonts w:ascii="Lato" w:hAnsi="Lato"/>
                <w:sz w:val="20"/>
                <w:szCs w:val="20"/>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4D0A581" w14:textId="15B56481" w:rsidR="004663EA" w:rsidRPr="003F2FE9" w:rsidRDefault="00DD60CA" w:rsidP="009719FE">
            <w:pPr>
              <w:spacing w:line="259" w:lineRule="auto"/>
              <w:ind w:right="2"/>
              <w:jc w:val="center"/>
              <w:rPr>
                <w:rFonts w:ascii="Lato" w:hAnsi="Lato"/>
                <w:sz w:val="20"/>
                <w:szCs w:val="20"/>
              </w:rPr>
            </w:pPr>
            <w:r w:rsidRPr="003F2FE9">
              <w:rPr>
                <w:rFonts w:ascii="Lato" w:hAnsi="Lato"/>
                <w:sz w:val="20"/>
                <w:szCs w:val="20"/>
              </w:rPr>
              <w:t>1,000.00</w:t>
            </w:r>
            <w:r w:rsidR="004663EA" w:rsidRPr="003F2FE9">
              <w:rPr>
                <w:rFonts w:ascii="Lato" w:hAnsi="Lato"/>
                <w:sz w:val="20"/>
                <w:szCs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36A0EC5" w14:textId="744D2AD2" w:rsidR="004663EA" w:rsidRPr="003F2FE9" w:rsidRDefault="006F69C9" w:rsidP="009719FE">
            <w:pPr>
              <w:spacing w:line="259" w:lineRule="auto"/>
              <w:ind w:left="1"/>
              <w:jc w:val="center"/>
              <w:rPr>
                <w:rFonts w:ascii="Lato" w:hAnsi="Lato"/>
                <w:sz w:val="20"/>
                <w:szCs w:val="20"/>
              </w:rPr>
            </w:pPr>
            <w:r w:rsidRPr="003F2FE9">
              <w:rPr>
                <w:rFonts w:ascii="Lato" w:hAnsi="Lato"/>
                <w:sz w:val="20"/>
                <w:szCs w:val="20"/>
              </w:rPr>
              <w:t>7,807.00</w:t>
            </w:r>
            <w:r w:rsidR="004663EA" w:rsidRPr="003F2FE9">
              <w:rPr>
                <w:rFonts w:ascii="Lato" w:hAnsi="Lato"/>
                <w:sz w:val="20"/>
                <w:szCs w:val="20"/>
              </w:rPr>
              <w:t xml:space="preserve"> </w:t>
            </w:r>
          </w:p>
        </w:tc>
      </w:tr>
      <w:tr w:rsidR="004663EA" w:rsidRPr="003F2FE9" w14:paraId="5942B0AB"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4AF63668" w:rsidR="004663EA" w:rsidRPr="003F2FE9" w:rsidRDefault="004663EA" w:rsidP="009719FE">
            <w:pPr>
              <w:spacing w:line="259" w:lineRule="auto"/>
              <w:ind w:right="2"/>
              <w:jc w:val="center"/>
              <w:rPr>
                <w:rFonts w:ascii="Lato" w:hAnsi="Lato"/>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49B54A75" w:rsidR="004663EA" w:rsidRPr="003F2FE9" w:rsidRDefault="004663EA" w:rsidP="009719FE">
            <w:pPr>
              <w:spacing w:line="259" w:lineRule="auto"/>
              <w:ind w:left="1"/>
              <w:jc w:val="center"/>
              <w:rPr>
                <w:rFonts w:ascii="Lato" w:hAnsi="Lato"/>
                <w:sz w:val="20"/>
                <w:szCs w:val="20"/>
              </w:rPr>
            </w:pPr>
          </w:p>
        </w:tc>
      </w:tr>
    </w:tbl>
    <w:p w14:paraId="6E807FD6" w14:textId="5F16C5C2" w:rsidR="004663EA" w:rsidRPr="004070B2" w:rsidRDefault="004663EA" w:rsidP="004663EA">
      <w:pPr>
        <w:pStyle w:val="Prrafodelista"/>
        <w:spacing w:after="53"/>
        <w:rPr>
          <w:rFonts w:ascii="Lato" w:hAnsi="Lato"/>
          <w:sz w:val="16"/>
          <w:szCs w:val="16"/>
        </w:rPr>
      </w:pPr>
      <w:r w:rsidRPr="003F2FE9">
        <w:rPr>
          <w:rFonts w:ascii="Lato" w:hAnsi="Lato"/>
          <w:sz w:val="20"/>
          <w:szCs w:val="20"/>
        </w:rPr>
        <w:t xml:space="preserve">                </w:t>
      </w:r>
      <w:r w:rsidRPr="004070B2">
        <w:rPr>
          <w:rFonts w:ascii="Lato" w:hAnsi="Lato"/>
          <w:sz w:val="16"/>
          <w:szCs w:val="16"/>
        </w:rPr>
        <w:t xml:space="preserve">Tasa de Cambio variable: 7.807 </w:t>
      </w:r>
    </w:p>
    <w:p w14:paraId="0F0507E9" w14:textId="77777777" w:rsidR="004663EA" w:rsidRPr="003F2FE9" w:rsidRDefault="004663EA">
      <w:pPr>
        <w:jc w:val="both"/>
        <w:rPr>
          <w:rFonts w:ascii="Lato" w:eastAsia="Lato" w:hAnsi="Lato" w:cs="Lato"/>
          <w:sz w:val="20"/>
          <w:szCs w:val="20"/>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37C27B96" w:rsidR="00856DC1" w:rsidRPr="003F2FE9" w:rsidRDefault="00EF5F31">
      <w:pPr>
        <w:numPr>
          <w:ilvl w:val="1"/>
          <w:numId w:val="1"/>
        </w:numPr>
        <w:spacing w:after="0"/>
        <w:jc w:val="both"/>
        <w:rPr>
          <w:rFonts w:ascii="Lato" w:eastAsia="Lato" w:hAnsi="Lato" w:cs="Lato"/>
          <w:sz w:val="20"/>
          <w:szCs w:val="20"/>
        </w:rPr>
      </w:pPr>
      <w:r w:rsidRPr="003F2FE9">
        <w:rPr>
          <w:rFonts w:ascii="Lato" w:eastAsia="Lato" w:hAnsi="Lato" w:cs="Lato"/>
          <w:sz w:val="20"/>
          <w:szCs w:val="20"/>
        </w:rPr>
        <w:t>Informe de consultoría</w:t>
      </w:r>
    </w:p>
    <w:p w14:paraId="0A7AAE25" w14:textId="77777777" w:rsidR="002667DF" w:rsidRPr="003F2FE9" w:rsidRDefault="002667DF" w:rsidP="002667DF">
      <w:pPr>
        <w:spacing w:after="0"/>
        <w:ind w:left="1440"/>
        <w:jc w:val="both"/>
        <w:rPr>
          <w:rFonts w:ascii="Lato" w:eastAsia="Lato" w:hAnsi="Lato" w:cs="Lato"/>
          <w:sz w:val="20"/>
          <w:szCs w:val="20"/>
        </w:rPr>
      </w:pPr>
    </w:p>
    <w:tbl>
      <w:tblPr>
        <w:tblW w:w="8409" w:type="dxa"/>
        <w:tblCellMar>
          <w:left w:w="0" w:type="dxa"/>
          <w:right w:w="0" w:type="dxa"/>
        </w:tblCellMar>
        <w:tblLook w:val="04A0" w:firstRow="1" w:lastRow="0" w:firstColumn="1" w:lastColumn="0" w:noHBand="0" w:noVBand="1"/>
      </w:tblPr>
      <w:tblGrid>
        <w:gridCol w:w="1196"/>
        <w:gridCol w:w="3385"/>
        <w:gridCol w:w="3828"/>
      </w:tblGrid>
      <w:tr w:rsidR="00E623B7" w:rsidRPr="00E623B7" w14:paraId="5A8EFDF3" w14:textId="77777777" w:rsidTr="00E623B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bottom"/>
            <w:hideMark/>
          </w:tcPr>
          <w:p w14:paraId="6D62D4E6" w14:textId="77777777" w:rsidR="00E623B7" w:rsidRPr="00E623B7" w:rsidRDefault="00E623B7" w:rsidP="00E623B7">
            <w:pPr>
              <w:spacing w:after="0" w:line="240" w:lineRule="auto"/>
              <w:jc w:val="center"/>
              <w:rPr>
                <w:rFonts w:ascii="Arial" w:eastAsia="Times New Roman" w:hAnsi="Arial" w:cs="Arial"/>
                <w:b/>
                <w:bCs/>
                <w:sz w:val="20"/>
                <w:szCs w:val="20"/>
                <w:lang w:val="es-GT"/>
              </w:rPr>
            </w:pPr>
            <w:r w:rsidRPr="00E623B7">
              <w:rPr>
                <w:rFonts w:ascii="Arial" w:eastAsia="Times New Roman" w:hAnsi="Arial" w:cs="Arial"/>
                <w:b/>
                <w:bCs/>
                <w:sz w:val="20"/>
                <w:szCs w:val="20"/>
                <w:lang w:val="es-GT"/>
              </w:rPr>
              <w:t>Fecha</w:t>
            </w:r>
          </w:p>
        </w:tc>
        <w:tc>
          <w:tcPr>
            <w:tcW w:w="0" w:type="auto"/>
            <w:tcBorders>
              <w:top w:val="single" w:sz="6" w:space="0" w:color="000000"/>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14:paraId="038E6582" w14:textId="77777777" w:rsidR="00E623B7" w:rsidRPr="00E623B7" w:rsidRDefault="00E623B7" w:rsidP="00E623B7">
            <w:pPr>
              <w:spacing w:after="0" w:line="240" w:lineRule="auto"/>
              <w:jc w:val="center"/>
              <w:rPr>
                <w:rFonts w:ascii="Arial" w:eastAsia="Times New Roman" w:hAnsi="Arial" w:cs="Arial"/>
                <w:b/>
                <w:bCs/>
                <w:sz w:val="20"/>
                <w:szCs w:val="20"/>
                <w:lang w:val="es-GT"/>
              </w:rPr>
            </w:pPr>
            <w:r w:rsidRPr="00E623B7">
              <w:rPr>
                <w:rFonts w:ascii="Arial" w:eastAsia="Times New Roman" w:hAnsi="Arial" w:cs="Arial"/>
                <w:b/>
                <w:bCs/>
                <w:sz w:val="20"/>
                <w:szCs w:val="20"/>
                <w:lang w:val="es-GT"/>
              </w:rPr>
              <w:t>Contexto</w:t>
            </w:r>
          </w:p>
        </w:tc>
        <w:tc>
          <w:tcPr>
            <w:tcW w:w="0" w:type="auto"/>
            <w:tcBorders>
              <w:top w:val="single" w:sz="6" w:space="0" w:color="000000"/>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14:paraId="0224D86A" w14:textId="77777777" w:rsidR="00E623B7" w:rsidRPr="00E623B7" w:rsidRDefault="00E623B7" w:rsidP="00E623B7">
            <w:pPr>
              <w:spacing w:after="0" w:line="240" w:lineRule="auto"/>
              <w:jc w:val="center"/>
              <w:rPr>
                <w:rFonts w:ascii="Arial" w:eastAsia="Times New Roman" w:hAnsi="Arial" w:cs="Arial"/>
                <w:b/>
                <w:bCs/>
                <w:sz w:val="20"/>
                <w:szCs w:val="20"/>
                <w:lang w:val="es-GT"/>
              </w:rPr>
            </w:pPr>
            <w:r w:rsidRPr="00E623B7">
              <w:rPr>
                <w:rFonts w:ascii="Arial" w:eastAsia="Times New Roman" w:hAnsi="Arial" w:cs="Arial"/>
                <w:b/>
                <w:bCs/>
                <w:sz w:val="20"/>
                <w:szCs w:val="20"/>
                <w:lang w:val="es-GT"/>
              </w:rPr>
              <w:t>Descripción de actividad y objetivo</w:t>
            </w:r>
          </w:p>
        </w:tc>
      </w:tr>
      <w:tr w:rsidR="00E623B7" w:rsidRPr="00E623B7" w14:paraId="2E613793" w14:textId="77777777" w:rsidTr="00E623B7">
        <w:trPr>
          <w:trHeight w:val="94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B129E6" w14:textId="77777777" w:rsidR="00E623B7" w:rsidRPr="00E623B7" w:rsidRDefault="00E623B7" w:rsidP="00E623B7">
            <w:pPr>
              <w:spacing w:after="0" w:line="240" w:lineRule="auto"/>
              <w:jc w:val="center"/>
              <w:rPr>
                <w:rFonts w:eastAsia="Times New Roman"/>
                <w:sz w:val="20"/>
                <w:szCs w:val="20"/>
                <w:lang w:val="es-GT"/>
              </w:rPr>
            </w:pPr>
            <w:r w:rsidRPr="00E623B7">
              <w:rPr>
                <w:rFonts w:eastAsia="Times New Roman"/>
                <w:sz w:val="20"/>
                <w:szCs w:val="20"/>
                <w:lang w:val="es-GT"/>
              </w:rPr>
              <w:t>05/11/2024 - 07/11/2024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A12623" w14:textId="77777777"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 xml:space="preserve">Talleres de socialización interna de la Política Migratoria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F3C10E7"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2FB167D1" w14:textId="77777777" w:rsidTr="00E623B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29DCB15" w14:textId="77777777" w:rsidR="00E623B7" w:rsidRPr="00E623B7" w:rsidRDefault="00E623B7" w:rsidP="00E623B7">
            <w:pPr>
              <w:spacing w:after="0" w:line="240" w:lineRule="auto"/>
              <w:rPr>
                <w:rFonts w:eastAsia="Times New Roman"/>
                <w:sz w:val="20"/>
                <w:szCs w:val="20"/>
                <w:lang w:val="es-GT"/>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84C5CF" w14:textId="77777777" w:rsidR="00E623B7" w:rsidRPr="00E623B7" w:rsidRDefault="00E623B7" w:rsidP="00E623B7">
            <w:pPr>
              <w:spacing w:after="0" w:line="240" w:lineRule="auto"/>
              <w:rPr>
                <w:rFonts w:eastAsia="Times New Roman"/>
                <w:sz w:val="20"/>
                <w:szCs w:val="20"/>
                <w:lang w:val="es-GT"/>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3293A61"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6F83C614" w14:textId="77777777" w:rsidTr="00E623B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E888D4" w14:textId="77777777" w:rsidR="00E623B7" w:rsidRPr="00E623B7" w:rsidRDefault="00E623B7" w:rsidP="00E623B7">
            <w:pPr>
              <w:spacing w:after="0" w:line="240" w:lineRule="auto"/>
              <w:rPr>
                <w:rFonts w:eastAsia="Times New Roman"/>
                <w:sz w:val="20"/>
                <w:szCs w:val="20"/>
                <w:lang w:val="es-GT"/>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D606EE" w14:textId="77777777" w:rsidR="00E623B7" w:rsidRPr="00E623B7" w:rsidRDefault="00E623B7" w:rsidP="00E623B7">
            <w:pPr>
              <w:spacing w:after="0" w:line="240" w:lineRule="auto"/>
              <w:rPr>
                <w:rFonts w:eastAsia="Times New Roman"/>
                <w:sz w:val="20"/>
                <w:szCs w:val="20"/>
                <w:lang w:val="es-GT"/>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D9B07B6"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1DDAE987" w14:textId="77777777" w:rsidTr="00E623B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D52DBF0"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t>07/11/2024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ECC449A" w14:textId="4CF22B4C"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Reunión con el Ministerio de Ambiente y Recursos Naturales en el marco de la actualización del Plan de Acción Naciona</w:t>
            </w:r>
            <w:r>
              <w:rPr>
                <w:rFonts w:eastAsia="Times New Roman"/>
                <w:sz w:val="20"/>
                <w:szCs w:val="20"/>
                <w:lang w:val="es-GT"/>
              </w:rPr>
              <w:t>l</w:t>
            </w:r>
            <w:r w:rsidRPr="00E623B7">
              <w:rPr>
                <w:rFonts w:eastAsia="Times New Roman"/>
                <w:sz w:val="20"/>
                <w:szCs w:val="20"/>
                <w:lang w:val="es-GT"/>
              </w:rPr>
              <w:t xml:space="preserve"> del Cambio Climático (PANCC),</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BEB963"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643786F8" w14:textId="77777777" w:rsidTr="00E623B7">
        <w:trPr>
          <w:trHeight w:val="129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23D9C5C"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t>08/11/2024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0A457BA" w14:textId="77777777"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 xml:space="preserve">Reunión virtual con Plan Trifinio en seguimiento para el llenado de herramienta de recolección de información en el marco del abordaje para su vinculación a la Política Migratoria.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46CFD21"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355A1A88" w14:textId="77777777" w:rsidTr="00E623B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141C9D6"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lastRenderedPageBreak/>
              <w:t>14/11/2024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3E8E63E" w14:textId="57E51688"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 xml:space="preserve">Diálogo interinstitucional y presentación de resultados de los estudios de "Migración laboral transfronteriza de personas guatemaltecas" en el marco del Grupo de Trabajo sobre Movilidad Laboral - GTML-.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8D5DF3"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0B40EA09" w14:textId="77777777" w:rsidTr="00E623B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CB8926B"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t>15/11/2024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FD609DC" w14:textId="77777777"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 xml:space="preserve">Reunión presencial de seguimiento para el abordaje de las dependencias vinculadas con la Vicepresidencia de la República y su vinculación con la Política Migratoria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F56AD3E" w14:textId="77777777"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la redacción de la memoria de reunión con el objetivo de documentar el desarrollo, conclusiones y logros de la reunión. </w:t>
            </w:r>
          </w:p>
        </w:tc>
      </w:tr>
      <w:tr w:rsidR="00E623B7" w:rsidRPr="00E623B7" w14:paraId="5DBD623D" w14:textId="77777777" w:rsidTr="00E623B7">
        <w:trPr>
          <w:trHeight w:val="105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45F0BD2"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t>26/11/2024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556C1A" w14:textId="77777777"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 xml:space="preserve">Proceso de actualización del Capítulo VI del - Plan de Acción Nacional contra el Cambio Climático (PANCC)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A5A856C" w14:textId="0243B554"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 xml:space="preserve">Se brindó asistencia técnica en revisión de matriz de acciones programadas dentro del Capítulo VI del PANCC con la finalidad de contribuir a determinar el marco normativo de IGM </w:t>
            </w:r>
            <w:r>
              <w:rPr>
                <w:rFonts w:eastAsia="Times New Roman"/>
                <w:sz w:val="20"/>
                <w:szCs w:val="20"/>
                <w:lang w:val="es-GT"/>
              </w:rPr>
              <w:t>relacionado</w:t>
            </w:r>
            <w:r w:rsidRPr="00E623B7">
              <w:rPr>
                <w:rFonts w:eastAsia="Times New Roman"/>
                <w:sz w:val="20"/>
                <w:szCs w:val="20"/>
                <w:lang w:val="es-GT"/>
              </w:rPr>
              <w:t xml:space="preserve"> con las acciones programadas. </w:t>
            </w:r>
          </w:p>
        </w:tc>
      </w:tr>
      <w:tr w:rsidR="00E623B7" w:rsidRPr="00E623B7" w14:paraId="1342C966" w14:textId="77777777" w:rsidTr="00E623B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56EAE7A" w14:textId="77777777" w:rsidR="00E623B7" w:rsidRPr="00E623B7" w:rsidRDefault="00E623B7" w:rsidP="00E623B7">
            <w:pPr>
              <w:spacing w:after="0" w:line="240" w:lineRule="auto"/>
              <w:rPr>
                <w:rFonts w:eastAsia="Times New Roman"/>
                <w:sz w:val="20"/>
                <w:szCs w:val="20"/>
                <w:lang w:val="es-GT"/>
              </w:rPr>
            </w:pPr>
            <w:r w:rsidRPr="00E623B7">
              <w:rPr>
                <w:rFonts w:eastAsia="Times New Roman"/>
                <w:sz w:val="20"/>
                <w:szCs w:val="20"/>
                <w:lang w:val="es-GT"/>
              </w:rPr>
              <w:t>28/11/2024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22862E0" w14:textId="7CD87F6C" w:rsidR="00E623B7" w:rsidRPr="00E623B7" w:rsidRDefault="00E623B7" w:rsidP="00317C51">
            <w:pPr>
              <w:spacing w:after="0" w:line="240" w:lineRule="auto"/>
              <w:jc w:val="both"/>
              <w:rPr>
                <w:rFonts w:eastAsia="Times New Roman"/>
                <w:sz w:val="20"/>
                <w:szCs w:val="20"/>
                <w:lang w:val="es-GT"/>
              </w:rPr>
            </w:pPr>
            <w:r w:rsidRPr="00E623B7">
              <w:rPr>
                <w:rFonts w:eastAsia="Times New Roman"/>
                <w:sz w:val="20"/>
                <w:szCs w:val="20"/>
                <w:lang w:val="es-GT"/>
              </w:rPr>
              <w:t>Solicitudes de revisión de Políticas Migratorias Municipales (PMM)</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D84306E" w14:textId="67845804" w:rsidR="00E623B7" w:rsidRPr="00E623B7" w:rsidRDefault="00E623B7" w:rsidP="00E623B7">
            <w:pPr>
              <w:spacing w:after="0" w:line="240" w:lineRule="auto"/>
              <w:jc w:val="both"/>
              <w:rPr>
                <w:rFonts w:eastAsia="Times New Roman"/>
                <w:sz w:val="20"/>
                <w:szCs w:val="20"/>
                <w:lang w:val="es-GT"/>
              </w:rPr>
            </w:pPr>
            <w:r w:rsidRPr="00E623B7">
              <w:rPr>
                <w:rFonts w:eastAsia="Times New Roman"/>
                <w:sz w:val="20"/>
                <w:szCs w:val="20"/>
                <w:lang w:val="es-GT"/>
              </w:rPr>
              <w:t>Se brindó asistencia técnica en revisión y elaboración de matriz comparativa de fundamentos normativos con la finalidad de contribuir a la determinación de la competencia del Departamento de Estudios y Políticas para conocer las Políticas Migratorias Municipales</w:t>
            </w:r>
          </w:p>
        </w:tc>
      </w:tr>
    </w:tbl>
    <w:p w14:paraId="00000031" w14:textId="59BE2835" w:rsidR="00856DC1" w:rsidRDefault="00856DC1" w:rsidP="002667DF">
      <w:pPr>
        <w:jc w:val="both"/>
        <w:rPr>
          <w:rFonts w:ascii="Lato" w:eastAsia="Lato" w:hAnsi="Lato" w:cstheme="minorHAnsi"/>
          <w:sz w:val="20"/>
          <w:szCs w:val="20"/>
        </w:rPr>
      </w:pPr>
    </w:p>
    <w:p w14:paraId="3755F003" w14:textId="2A6A3BCE" w:rsidR="00646F64" w:rsidRDefault="00646F64" w:rsidP="002667DF">
      <w:pPr>
        <w:jc w:val="both"/>
        <w:rPr>
          <w:rFonts w:ascii="Lato" w:eastAsia="Lato" w:hAnsi="Lato" w:cstheme="minorHAnsi"/>
          <w:sz w:val="20"/>
          <w:szCs w:val="20"/>
        </w:rPr>
      </w:pPr>
    </w:p>
    <w:p w14:paraId="4885159E" w14:textId="349B28B0" w:rsidR="006C53E7" w:rsidRDefault="006C53E7" w:rsidP="002667DF">
      <w:pPr>
        <w:jc w:val="both"/>
        <w:rPr>
          <w:rFonts w:ascii="Lato" w:eastAsia="Lato" w:hAnsi="Lato" w:cstheme="minorHAnsi"/>
          <w:sz w:val="20"/>
          <w:szCs w:val="20"/>
        </w:rPr>
      </w:pPr>
    </w:p>
    <w:p w14:paraId="3F74BD0E" w14:textId="7C85A91C" w:rsidR="006C53E7" w:rsidRDefault="006C53E7" w:rsidP="002667DF">
      <w:pPr>
        <w:jc w:val="both"/>
        <w:rPr>
          <w:rFonts w:ascii="Lato" w:eastAsia="Lato" w:hAnsi="Lato" w:cstheme="minorHAnsi"/>
          <w:sz w:val="20"/>
          <w:szCs w:val="20"/>
        </w:rPr>
      </w:pPr>
    </w:p>
    <w:p w14:paraId="2EB58E02" w14:textId="77777777" w:rsidR="006C53E7" w:rsidRPr="003F2FE9" w:rsidRDefault="006C53E7" w:rsidP="002667DF">
      <w:pPr>
        <w:jc w:val="both"/>
        <w:rPr>
          <w:rFonts w:ascii="Lato" w:eastAsia="Lato" w:hAnsi="Lato" w:cstheme="minorHAnsi"/>
          <w:sz w:val="20"/>
          <w:szCs w:val="20"/>
        </w:rPr>
      </w:pPr>
    </w:p>
    <w:sectPr w:rsidR="006C53E7" w:rsidRPr="003F2FE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ED56" w14:textId="77777777" w:rsidR="009F5FF9" w:rsidRDefault="009F5FF9">
      <w:pPr>
        <w:spacing w:after="0" w:line="240" w:lineRule="auto"/>
      </w:pPr>
      <w:r>
        <w:separator/>
      </w:r>
    </w:p>
  </w:endnote>
  <w:endnote w:type="continuationSeparator" w:id="0">
    <w:p w14:paraId="35248158" w14:textId="77777777" w:rsidR="009F5FF9" w:rsidRDefault="009F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D3CC" w14:textId="77777777" w:rsidR="009F5FF9" w:rsidRDefault="009F5FF9">
      <w:pPr>
        <w:spacing w:after="0" w:line="240" w:lineRule="auto"/>
      </w:pPr>
      <w:r>
        <w:separator/>
      </w:r>
    </w:p>
  </w:footnote>
  <w:footnote w:type="continuationSeparator" w:id="0">
    <w:p w14:paraId="10D41ACA" w14:textId="77777777" w:rsidR="009F5FF9" w:rsidRDefault="009F5FF9">
      <w:pPr>
        <w:spacing w:after="0" w:line="240" w:lineRule="auto"/>
      </w:pPr>
      <w:r>
        <w:continuationSeparator/>
      </w:r>
    </w:p>
  </w:footnote>
  <w:footnote w:id="1">
    <w:p w14:paraId="00000036" w14:textId="77777777" w:rsidR="00856DC1" w:rsidRDefault="00EF5F31">
      <w:pPr>
        <w:spacing w:after="0" w:line="240" w:lineRule="auto"/>
        <w:rPr>
          <w:sz w:val="20"/>
          <w:szCs w:val="20"/>
        </w:rPr>
      </w:pPr>
      <w:r>
        <w:rPr>
          <w:vertAlign w:val="superscript"/>
        </w:rPr>
        <w:footnoteRef/>
      </w:r>
      <w:r>
        <w:rPr>
          <w:sz w:val="20"/>
          <w:szCs w:val="20"/>
        </w:rPr>
        <w:t xml:space="preserve"> </w:t>
      </w:r>
      <w:r w:rsidRPr="00564FA9">
        <w:rPr>
          <w:sz w:val="16"/>
          <w:szCs w:val="16"/>
        </w:rPr>
        <w:t>Cooperación técnica: Es aquel tipo de cooperación centrada en el intercambio de conocimientos técnicos y de gestión. Esta puede ser una consultoría, diplomado, capacitación, evento,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A08"/>
    <w:multiLevelType w:val="multilevel"/>
    <w:tmpl w:val="25A805EE"/>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A4939"/>
    <w:rsid w:val="00102E99"/>
    <w:rsid w:val="0016433C"/>
    <w:rsid w:val="00164899"/>
    <w:rsid w:val="00173FCF"/>
    <w:rsid w:val="0018411C"/>
    <w:rsid w:val="002667DF"/>
    <w:rsid w:val="00284492"/>
    <w:rsid w:val="002A20C6"/>
    <w:rsid w:val="00317C51"/>
    <w:rsid w:val="003234C1"/>
    <w:rsid w:val="00334BB2"/>
    <w:rsid w:val="003517F7"/>
    <w:rsid w:val="00362B06"/>
    <w:rsid w:val="003F2FE9"/>
    <w:rsid w:val="004070B2"/>
    <w:rsid w:val="00407DB2"/>
    <w:rsid w:val="004663EA"/>
    <w:rsid w:val="0051283A"/>
    <w:rsid w:val="0056220B"/>
    <w:rsid w:val="00564FA9"/>
    <w:rsid w:val="00577197"/>
    <w:rsid w:val="00614807"/>
    <w:rsid w:val="00646F64"/>
    <w:rsid w:val="006753DC"/>
    <w:rsid w:val="006C53E7"/>
    <w:rsid w:val="006F69C9"/>
    <w:rsid w:val="0073082F"/>
    <w:rsid w:val="007709B1"/>
    <w:rsid w:val="008078D9"/>
    <w:rsid w:val="00810805"/>
    <w:rsid w:val="00847F8A"/>
    <w:rsid w:val="00856DC1"/>
    <w:rsid w:val="008C32F9"/>
    <w:rsid w:val="00922033"/>
    <w:rsid w:val="0093088D"/>
    <w:rsid w:val="00955C66"/>
    <w:rsid w:val="00997FCC"/>
    <w:rsid w:val="009F5FF9"/>
    <w:rsid w:val="00A61C35"/>
    <w:rsid w:val="00AA599F"/>
    <w:rsid w:val="00C0777E"/>
    <w:rsid w:val="00C43ED4"/>
    <w:rsid w:val="00D04FA0"/>
    <w:rsid w:val="00D105BA"/>
    <w:rsid w:val="00D21E39"/>
    <w:rsid w:val="00DC514C"/>
    <w:rsid w:val="00DD60CA"/>
    <w:rsid w:val="00E0041A"/>
    <w:rsid w:val="00E623B7"/>
    <w:rsid w:val="00EA3380"/>
    <w:rsid w:val="00EF27A9"/>
    <w:rsid w:val="00EF5F31"/>
    <w:rsid w:val="00F259A2"/>
    <w:rsid w:val="00F7267B"/>
    <w:rsid w:val="00F73AF8"/>
    <w:rsid w:val="00F83A56"/>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746851131">
      <w:bodyDiv w:val="1"/>
      <w:marLeft w:val="0"/>
      <w:marRight w:val="0"/>
      <w:marTop w:val="0"/>
      <w:marBottom w:val="0"/>
      <w:divBdr>
        <w:top w:val="none" w:sz="0" w:space="0" w:color="auto"/>
        <w:left w:val="none" w:sz="0" w:space="0" w:color="auto"/>
        <w:bottom w:val="none" w:sz="0" w:space="0" w:color="auto"/>
        <w:right w:val="none" w:sz="0" w:space="0" w:color="auto"/>
      </w:divBdr>
    </w:div>
    <w:div w:id="1225292105">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 w:id="1566601498">
      <w:bodyDiv w:val="1"/>
      <w:marLeft w:val="0"/>
      <w:marRight w:val="0"/>
      <w:marTop w:val="0"/>
      <w:marBottom w:val="0"/>
      <w:divBdr>
        <w:top w:val="none" w:sz="0" w:space="0" w:color="auto"/>
        <w:left w:val="none" w:sz="0" w:space="0" w:color="auto"/>
        <w:bottom w:val="none" w:sz="0" w:space="0" w:color="auto"/>
        <w:right w:val="none" w:sz="0" w:space="0" w:color="auto"/>
      </w:divBdr>
      <w:divsChild>
        <w:div w:id="609436403">
          <w:marLeft w:val="0"/>
          <w:marRight w:val="0"/>
          <w:marTop w:val="0"/>
          <w:marBottom w:val="0"/>
          <w:divBdr>
            <w:top w:val="none" w:sz="0" w:space="0" w:color="auto"/>
            <w:left w:val="none" w:sz="0" w:space="0" w:color="auto"/>
            <w:bottom w:val="none" w:sz="0" w:space="0" w:color="auto"/>
            <w:right w:val="none" w:sz="0" w:space="0" w:color="auto"/>
          </w:divBdr>
        </w:div>
        <w:div w:id="207104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Héctor Anibal de León Rojas</cp:lastModifiedBy>
  <cp:revision>2</cp:revision>
  <cp:lastPrinted>2024-10-31T14:58:00Z</cp:lastPrinted>
  <dcterms:created xsi:type="dcterms:W3CDTF">2024-12-05T15:34:00Z</dcterms:created>
  <dcterms:modified xsi:type="dcterms:W3CDTF">2024-12-05T15:34:00Z</dcterms:modified>
</cp:coreProperties>
</file>