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2D126459" w:rsidR="004200D9" w:rsidRPr="001760BA"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1760BA">
        <w:rPr>
          <w:rFonts w:ascii="Arial" w:hAnsi="Arial" w:cs="Arial"/>
          <w:i/>
          <w:color w:val="323E4F" w:themeColor="text2" w:themeShade="BF"/>
          <w:sz w:val="24"/>
          <w:szCs w:val="24"/>
          <w:lang w:val="es-ES"/>
        </w:rPr>
        <w:t xml:space="preserve">Acuerdo de Autoridad Migratoria Nacional </w:t>
      </w:r>
      <w:r w:rsidR="00000253" w:rsidRPr="001760BA">
        <w:rPr>
          <w:rFonts w:ascii="Arial" w:hAnsi="Arial" w:cs="Arial"/>
          <w:i/>
          <w:color w:val="323E4F" w:themeColor="text2" w:themeShade="BF"/>
          <w:sz w:val="24"/>
          <w:szCs w:val="24"/>
          <w:lang w:val="es-ES"/>
        </w:rPr>
        <w:t>No.</w:t>
      </w:r>
      <w:r w:rsidR="00000253">
        <w:rPr>
          <w:rFonts w:ascii="Arial" w:hAnsi="Arial" w:cs="Arial"/>
          <w:i/>
          <w:color w:val="323E4F" w:themeColor="text2" w:themeShade="BF"/>
          <w:sz w:val="24"/>
          <w:szCs w:val="24"/>
          <w:lang w:val="es-ES"/>
        </w:rPr>
        <w:t xml:space="preserve"> </w:t>
      </w:r>
      <w:r w:rsidR="00000253" w:rsidRPr="001760BA">
        <w:rPr>
          <w:rFonts w:ascii="Arial" w:hAnsi="Arial" w:cs="Arial"/>
          <w:i/>
          <w:color w:val="323E4F" w:themeColor="text2" w:themeShade="BF"/>
          <w:sz w:val="24"/>
          <w:szCs w:val="24"/>
          <w:lang w:val="es-ES"/>
        </w:rPr>
        <w:t>1</w:t>
      </w:r>
      <w:r w:rsidRPr="001760BA">
        <w:rPr>
          <w:rFonts w:ascii="Arial" w:hAnsi="Arial" w:cs="Arial"/>
          <w:i/>
          <w:color w:val="323E4F" w:themeColor="text2" w:themeShade="BF"/>
          <w:sz w:val="24"/>
          <w:szCs w:val="24"/>
          <w:lang w:val="es-ES"/>
        </w:rPr>
        <w:t>-2018</w:t>
      </w:r>
      <w:r w:rsidRPr="001760BA">
        <w:rPr>
          <w:rFonts w:ascii="Arial" w:hAnsi="Arial" w:cs="Arial"/>
          <w:b w:val="0"/>
          <w:i/>
          <w:color w:val="323E4F" w:themeColor="text2" w:themeShade="BF"/>
          <w:sz w:val="24"/>
          <w:szCs w:val="24"/>
          <w:lang w:val="es-ES"/>
        </w:rPr>
        <w:t xml:space="preserve">, mediante el cual la Autoridad Migratoria Nacional acuerda </w:t>
      </w:r>
      <w:r w:rsidR="00DF27A5" w:rsidRPr="001760BA">
        <w:rPr>
          <w:rFonts w:ascii="Arial" w:hAnsi="Arial" w:cs="Arial"/>
          <w:b w:val="0"/>
          <w:i/>
          <w:color w:val="323E4F" w:themeColor="text2" w:themeShade="BF"/>
          <w:sz w:val="24"/>
          <w:szCs w:val="24"/>
          <w:lang w:val="es-ES"/>
        </w:rPr>
        <w:t>aproba</w:t>
      </w:r>
      <w:r w:rsidRPr="001760BA">
        <w:rPr>
          <w:rFonts w:ascii="Arial" w:hAnsi="Arial" w:cs="Arial"/>
          <w:b w:val="0"/>
          <w:i/>
          <w:color w:val="323E4F" w:themeColor="text2" w:themeShade="BF"/>
          <w:sz w:val="24"/>
          <w:szCs w:val="24"/>
          <w:lang w:val="es-ES"/>
        </w:rPr>
        <w:t>r el Reglamento Interno de Funcionamiento de la Autoridad Migratoria</w:t>
      </w:r>
      <w:r w:rsidR="00000253">
        <w:rPr>
          <w:rFonts w:ascii="Arial" w:hAnsi="Arial" w:cs="Arial"/>
          <w:b w:val="0"/>
          <w:i/>
          <w:color w:val="323E4F" w:themeColor="text2" w:themeShade="BF"/>
          <w:sz w:val="24"/>
          <w:szCs w:val="24"/>
          <w:lang w:val="es-ES"/>
        </w:rPr>
        <w:t xml:space="preserve"> Nacional</w:t>
      </w:r>
      <w:r w:rsidRPr="001760BA">
        <w:rPr>
          <w:rFonts w:ascii="Arial" w:hAnsi="Arial" w:cs="Arial"/>
          <w:b w:val="0"/>
          <w:i/>
          <w:color w:val="323E4F" w:themeColor="text2" w:themeShade="BF"/>
          <w:sz w:val="24"/>
          <w:szCs w:val="24"/>
          <w:lang w:val="es-ES"/>
        </w:rPr>
        <w:t>, publicado en el Diario de Centroamérica el 29 de junio de 2018, y entró en vigencia el 30 de junio de 2018.</w:t>
      </w:r>
    </w:p>
    <w:p w14:paraId="72057CF1" w14:textId="2D6B58A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21 de marzo de 2019, y entró en vigencia el 20 de abril de 2019</w:t>
      </w:r>
      <w:r w:rsidR="00EF468C">
        <w:rPr>
          <w:rFonts w:ascii="Arial" w:hAnsi="Arial" w:cs="Arial"/>
          <w:b w:val="0"/>
          <w:i/>
          <w:color w:val="323E4F" w:themeColor="text2" w:themeShade="BF"/>
          <w:sz w:val="24"/>
          <w:szCs w:val="24"/>
          <w:lang w:val="es-ES"/>
        </w:rPr>
        <w:t>.</w:t>
      </w:r>
    </w:p>
    <w:p w14:paraId="57972FAC" w14:textId="1175606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240185A9"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Residencias Guatemaltecas, publicado en el Diario de Centroamérica el </w:t>
      </w:r>
      <w:r w:rsidR="00F706CC" w:rsidRPr="00FA0E2F">
        <w:rPr>
          <w:rFonts w:ascii="Arial" w:hAnsi="Arial" w:cs="Arial"/>
          <w:b w:val="0"/>
          <w:i/>
          <w:color w:val="323E4F" w:themeColor="text2" w:themeShade="BF"/>
          <w:sz w:val="24"/>
          <w:szCs w:val="24"/>
          <w:lang w:val="es-ES"/>
        </w:rPr>
        <w:t xml:space="preserve">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7BEC682B" w14:textId="7ADFECA1"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09 de diciembre de 2019, y entró en vigencia el 10 de diciembre de 2019.</w:t>
      </w:r>
    </w:p>
    <w:p w14:paraId="376522D2" w14:textId="4B94E9BB"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17 de enero de 2020, y entró en vigencia el 25 de enero de 2020.</w:t>
      </w:r>
    </w:p>
    <w:p w14:paraId="14FBBE1C" w14:textId="72911D7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17 de enero de 2020, y entró en vigencia el 25 de enero de 2020.</w:t>
      </w:r>
    </w:p>
    <w:p w14:paraId="0D3A22AE" w14:textId="0C6838D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2BFA0491"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F100BA">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p w14:paraId="0AE9D2CA" w14:textId="06117766" w:rsidR="007C60E4" w:rsidRPr="00FA0E2F"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7BA501E7" w14:textId="7F29BEED" w:rsidR="00080871" w:rsidRDefault="00080871" w:rsidP="00080871">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0" w:name="_Hlk11171021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Pr>
          <w:rFonts w:ascii="Arial" w:hAnsi="Arial" w:cs="Arial"/>
          <w:b w:val="0"/>
          <w:bCs w:val="0"/>
          <w:i/>
          <w:iCs/>
          <w:color w:val="323E4F" w:themeColor="text2" w:themeShade="BF"/>
          <w:sz w:val="24"/>
          <w:szCs w:val="24"/>
          <w:lang w:val="es-ES"/>
        </w:rPr>
        <w:t>, de fecha 21 de diciembre de 2021</w:t>
      </w:r>
      <w:r w:rsidRPr="00FA0E2F">
        <w:rPr>
          <w:rFonts w:ascii="Arial" w:hAnsi="Arial" w:cs="Arial"/>
          <w:b w:val="0"/>
          <w:bCs w:val="0"/>
          <w:i/>
          <w:iCs/>
          <w:color w:val="323E4F" w:themeColor="text2" w:themeShade="BF"/>
          <w:sz w:val="24"/>
          <w:szCs w:val="24"/>
          <w:lang w:val="es-ES"/>
        </w:rPr>
        <w:t>.</w:t>
      </w:r>
    </w:p>
    <w:p w14:paraId="769C2CF2" w14:textId="77777777" w:rsidR="00101D34" w:rsidRDefault="00101D34" w:rsidP="00101D34">
      <w:pPr>
        <w:pStyle w:val="Ttulo1"/>
        <w:numPr>
          <w:ilvl w:val="0"/>
          <w:numId w:val="6"/>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Acuerdo de Autoridad Migratoria Nacional No. AMN-001-2022</w:t>
      </w:r>
      <w:r>
        <w:rPr>
          <w:rFonts w:ascii="Arial" w:hAnsi="Arial" w:cs="Arial"/>
          <w:b w:val="0"/>
          <w:bCs w:val="0"/>
          <w:i/>
          <w:iCs/>
          <w:color w:val="323E4F" w:themeColor="text2" w:themeShade="BF"/>
          <w:sz w:val="24"/>
          <w:szCs w:val="24"/>
          <w:lang w:val="es-ES"/>
        </w:rPr>
        <w:t xml:space="preserve"> mediante el cual la Autoridad Migratoria Nacional aprueba el Plan Estratégico Institucional para el período 2021-2030 del Instituto Guatemalteco de Migración, publicado en el Diario de Centroamérica el día 07 de marzo de 2022.</w:t>
      </w:r>
    </w:p>
    <w:p w14:paraId="0446EF36" w14:textId="77777777" w:rsidR="00080871" w:rsidRDefault="00080871" w:rsidP="00080871">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Acuerdo de Dirección General No. </w:t>
      </w:r>
      <w:r>
        <w:rPr>
          <w:rFonts w:ascii="Arial" w:hAnsi="Arial" w:cs="Arial"/>
          <w:i/>
          <w:iCs/>
          <w:color w:val="323E4F" w:themeColor="text2" w:themeShade="BF"/>
          <w:sz w:val="24"/>
          <w:szCs w:val="24"/>
          <w:lang w:val="es-ES"/>
        </w:rPr>
        <w:t>038</w:t>
      </w:r>
      <w:r w:rsidRPr="00FA0E2F">
        <w:rPr>
          <w:rFonts w:ascii="Arial" w:hAnsi="Arial" w:cs="Arial"/>
          <w:i/>
          <w:iCs/>
          <w:color w:val="323E4F" w:themeColor="text2" w:themeShade="BF"/>
          <w:sz w:val="24"/>
          <w:szCs w:val="24"/>
          <w:lang w:val="es-ES"/>
        </w:rPr>
        <w:t>-2022, Reglamento del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 xml:space="preserve">el cual tiene como objeto </w:t>
      </w:r>
      <w:r>
        <w:rPr>
          <w:rFonts w:ascii="Arial" w:hAnsi="Arial" w:cs="Arial"/>
          <w:b w:val="0"/>
          <w:bCs w:val="0"/>
          <w:i/>
          <w:iCs/>
          <w:color w:val="323E4F" w:themeColor="text2" w:themeShade="BF"/>
          <w:sz w:val="24"/>
          <w:szCs w:val="24"/>
          <w:lang w:val="es-ES"/>
        </w:rPr>
        <w:t xml:space="preserve">desarrollar las disposiciones contenidas en el Código de Ética del </w:t>
      </w:r>
      <w:r w:rsidRPr="00FA0E2F">
        <w:rPr>
          <w:rFonts w:ascii="Arial" w:hAnsi="Arial" w:cs="Arial"/>
          <w:b w:val="0"/>
          <w:bCs w:val="0"/>
          <w:i/>
          <w:iCs/>
          <w:color w:val="323E4F" w:themeColor="text2" w:themeShade="BF"/>
          <w:sz w:val="24"/>
          <w:szCs w:val="24"/>
          <w:lang w:val="es-ES"/>
        </w:rPr>
        <w:t>Instituto Guatemalteco de Migración</w:t>
      </w:r>
      <w:r>
        <w:rPr>
          <w:rFonts w:ascii="Arial" w:hAnsi="Arial" w:cs="Arial"/>
          <w:b w:val="0"/>
          <w:bCs w:val="0"/>
          <w:i/>
          <w:iCs/>
          <w:color w:val="323E4F" w:themeColor="text2" w:themeShade="BF"/>
          <w:sz w:val="24"/>
          <w:szCs w:val="24"/>
          <w:lang w:val="es-ES"/>
        </w:rPr>
        <w:t>, de fecha 18 de marzo de 2022</w:t>
      </w:r>
      <w:r w:rsidRPr="00FA0E2F">
        <w:rPr>
          <w:rFonts w:ascii="Arial" w:hAnsi="Arial" w:cs="Arial"/>
          <w:b w:val="0"/>
          <w:bCs w:val="0"/>
          <w:i/>
          <w:iCs/>
          <w:color w:val="323E4F" w:themeColor="text2" w:themeShade="BF"/>
          <w:sz w:val="24"/>
          <w:szCs w:val="24"/>
          <w:lang w:val="es-ES"/>
        </w:rPr>
        <w:t>.</w:t>
      </w:r>
    </w:p>
    <w:bookmarkEnd w:id="0"/>
    <w:p w14:paraId="69969760" w14:textId="7753D995" w:rsidR="00F627F5" w:rsidRPr="00892951" w:rsidRDefault="00F627F5"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892951">
        <w:rPr>
          <w:rFonts w:ascii="Arial" w:hAnsi="Arial" w:cs="Arial"/>
          <w:i/>
          <w:iCs/>
          <w:color w:val="323E4F" w:themeColor="text2" w:themeShade="BF"/>
          <w:sz w:val="24"/>
          <w:szCs w:val="24"/>
          <w:lang w:val="es-ES"/>
        </w:rPr>
        <w:t>Acuerdo de Autoridad Migratoria</w:t>
      </w:r>
      <w:r w:rsidR="00BA0C0A" w:rsidRPr="00892951">
        <w:rPr>
          <w:rFonts w:ascii="Arial" w:hAnsi="Arial" w:cs="Arial"/>
          <w:i/>
          <w:iCs/>
          <w:color w:val="323E4F" w:themeColor="text2" w:themeShade="BF"/>
          <w:sz w:val="24"/>
          <w:szCs w:val="24"/>
          <w:lang w:val="es-ES"/>
        </w:rPr>
        <w:t xml:space="preserve"> Nacional No. AMN-002-2022, </w:t>
      </w:r>
      <w:r w:rsidR="00BA0C0A" w:rsidRPr="00892951">
        <w:rPr>
          <w:rFonts w:ascii="Arial" w:hAnsi="Arial" w:cs="Arial"/>
          <w:b w:val="0"/>
          <w:bCs w:val="0"/>
          <w:i/>
          <w:iCs/>
          <w:color w:val="323E4F" w:themeColor="text2" w:themeShade="BF"/>
          <w:sz w:val="24"/>
          <w:szCs w:val="24"/>
          <w:lang w:val="es-ES"/>
        </w:rPr>
        <w:t>mediante el cual</w:t>
      </w:r>
      <w:r w:rsidR="00F100BA">
        <w:rPr>
          <w:rFonts w:ascii="Arial" w:hAnsi="Arial" w:cs="Arial"/>
          <w:b w:val="0"/>
          <w:bCs w:val="0"/>
          <w:i/>
          <w:iCs/>
          <w:color w:val="323E4F" w:themeColor="text2" w:themeShade="BF"/>
          <w:sz w:val="24"/>
          <w:szCs w:val="24"/>
          <w:lang w:val="es-ES"/>
        </w:rPr>
        <w:t xml:space="preserve"> se</w:t>
      </w:r>
      <w:r w:rsidR="00BA0C0A" w:rsidRPr="00892951">
        <w:rPr>
          <w:rFonts w:ascii="Arial" w:hAnsi="Arial" w:cs="Arial"/>
          <w:b w:val="0"/>
          <w:bCs w:val="0"/>
          <w:i/>
          <w:iCs/>
          <w:color w:val="323E4F" w:themeColor="text2" w:themeShade="BF"/>
          <w:sz w:val="24"/>
          <w:szCs w:val="24"/>
          <w:lang w:val="es-ES"/>
        </w:rPr>
        <w:t xml:space="preserve"> aprueba el Acuerdo Número IGM-0048-2022 de fecha veintiocho de marzo de 202</w:t>
      </w:r>
      <w:r w:rsidR="00892951" w:rsidRPr="00892951">
        <w:rPr>
          <w:rFonts w:ascii="Arial" w:hAnsi="Arial" w:cs="Arial"/>
          <w:b w:val="0"/>
          <w:bCs w:val="0"/>
          <w:i/>
          <w:iCs/>
          <w:color w:val="323E4F" w:themeColor="text2" w:themeShade="BF"/>
          <w:sz w:val="24"/>
          <w:szCs w:val="24"/>
          <w:lang w:val="es-ES"/>
        </w:rPr>
        <w:t>2</w:t>
      </w:r>
      <w:r w:rsidR="00BA0C0A" w:rsidRPr="00892951">
        <w:rPr>
          <w:rFonts w:ascii="Arial" w:hAnsi="Arial" w:cs="Arial"/>
          <w:b w:val="0"/>
          <w:bCs w:val="0"/>
          <w:i/>
          <w:iCs/>
          <w:color w:val="323E4F" w:themeColor="text2" w:themeShade="BF"/>
          <w:sz w:val="24"/>
          <w:szCs w:val="24"/>
          <w:lang w:val="es-ES"/>
        </w:rPr>
        <w:t xml:space="preserve">, emitido por el </w:t>
      </w:r>
      <w:proofErr w:type="gramStart"/>
      <w:r w:rsidR="00BA0C0A" w:rsidRPr="00892951">
        <w:rPr>
          <w:rFonts w:ascii="Arial" w:hAnsi="Arial" w:cs="Arial"/>
          <w:b w:val="0"/>
          <w:bCs w:val="0"/>
          <w:i/>
          <w:iCs/>
          <w:color w:val="323E4F" w:themeColor="text2" w:themeShade="BF"/>
          <w:sz w:val="24"/>
          <w:szCs w:val="24"/>
          <w:lang w:val="es-ES"/>
        </w:rPr>
        <w:t>Director General</w:t>
      </w:r>
      <w:proofErr w:type="gramEnd"/>
      <w:r w:rsidR="00BA0C0A" w:rsidRPr="00892951">
        <w:rPr>
          <w:rFonts w:ascii="Arial" w:hAnsi="Arial" w:cs="Arial"/>
          <w:b w:val="0"/>
          <w:bCs w:val="0"/>
          <w:i/>
          <w:iCs/>
          <w:color w:val="323E4F" w:themeColor="text2" w:themeShade="BF"/>
          <w:sz w:val="24"/>
          <w:szCs w:val="24"/>
          <w:lang w:val="es-ES"/>
        </w:rPr>
        <w:t xml:space="preserve"> de Instituto Guatemalteco de Migración, que contiene Reformas al Reglamento de Visas Guatemaltecas,</w:t>
      </w:r>
      <w:r w:rsidR="00892951" w:rsidRPr="00892951">
        <w:rPr>
          <w:rFonts w:ascii="Arial" w:hAnsi="Arial" w:cs="Arial"/>
          <w:b w:val="0"/>
          <w:bCs w:val="0"/>
          <w:i/>
          <w:iCs/>
          <w:color w:val="323E4F" w:themeColor="text2" w:themeShade="BF"/>
          <w:sz w:val="24"/>
          <w:szCs w:val="24"/>
          <w:lang w:val="es-ES"/>
        </w:rPr>
        <w:t xml:space="preserve"> </w:t>
      </w:r>
      <w:r w:rsidR="00892951" w:rsidRPr="00892951">
        <w:rPr>
          <w:rFonts w:ascii="Arial" w:hAnsi="Arial" w:cs="Arial"/>
          <w:b w:val="0"/>
          <w:i/>
          <w:color w:val="323E4F" w:themeColor="text2" w:themeShade="BF"/>
          <w:sz w:val="24"/>
          <w:szCs w:val="24"/>
          <w:lang w:val="es-ES"/>
        </w:rPr>
        <w:t xml:space="preserve">publicado en el Diario de Centroamérica el 22 de </w:t>
      </w:r>
      <w:r w:rsidR="004A3A2A" w:rsidRPr="00892951">
        <w:rPr>
          <w:rFonts w:ascii="Arial" w:hAnsi="Arial" w:cs="Arial"/>
          <w:b w:val="0"/>
          <w:i/>
          <w:color w:val="323E4F" w:themeColor="text2" w:themeShade="BF"/>
          <w:sz w:val="24"/>
          <w:szCs w:val="24"/>
          <w:lang w:val="es-ES"/>
        </w:rPr>
        <w:t>abril de</w:t>
      </w:r>
      <w:r w:rsidR="00892951" w:rsidRPr="00892951">
        <w:rPr>
          <w:rFonts w:ascii="Arial" w:hAnsi="Arial" w:cs="Arial"/>
          <w:b w:val="0"/>
          <w:i/>
          <w:color w:val="323E4F" w:themeColor="text2" w:themeShade="BF"/>
          <w:sz w:val="24"/>
          <w:szCs w:val="24"/>
          <w:lang w:val="es-ES"/>
        </w:rPr>
        <w:t xml:space="preserve"> 2022 y entró en vigencia el</w:t>
      </w:r>
      <w:r w:rsidR="00892951">
        <w:rPr>
          <w:rFonts w:ascii="Arial" w:hAnsi="Arial" w:cs="Arial"/>
          <w:b w:val="0"/>
          <w:i/>
          <w:color w:val="323E4F" w:themeColor="text2" w:themeShade="BF"/>
          <w:sz w:val="24"/>
          <w:szCs w:val="24"/>
          <w:lang w:val="es-ES"/>
        </w:rPr>
        <w:t xml:space="preserve"> día siguiente a</w:t>
      </w:r>
      <w:r w:rsidR="00892951" w:rsidRPr="00892951">
        <w:rPr>
          <w:rFonts w:ascii="Arial" w:hAnsi="Arial" w:cs="Arial"/>
          <w:b w:val="0"/>
          <w:i/>
          <w:color w:val="323E4F" w:themeColor="text2" w:themeShade="BF"/>
          <w:sz w:val="24"/>
          <w:szCs w:val="24"/>
          <w:lang w:val="es-ES"/>
        </w:rPr>
        <w:t xml:space="preserve"> su publicación</w:t>
      </w:r>
      <w:r w:rsidR="004A3A2A">
        <w:rPr>
          <w:rFonts w:ascii="Arial" w:hAnsi="Arial" w:cs="Arial"/>
          <w:b w:val="0"/>
          <w:i/>
          <w:color w:val="323E4F" w:themeColor="text2" w:themeShade="BF"/>
          <w:sz w:val="24"/>
          <w:szCs w:val="24"/>
          <w:lang w:val="es-ES"/>
        </w:rPr>
        <w:t>.</w:t>
      </w:r>
    </w:p>
    <w:p w14:paraId="51A075BF" w14:textId="1BCA9B79" w:rsidR="00076B2F" w:rsidRDefault="00076B2F" w:rsidP="00076B2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AMN-003-2022,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F100BA">
        <w:rPr>
          <w:rFonts w:ascii="Arial" w:hAnsi="Arial" w:cs="Arial"/>
          <w:b w:val="0"/>
          <w:bCs w:val="0"/>
          <w:i/>
          <w:iCs/>
          <w:color w:val="323E4F" w:themeColor="text2" w:themeShade="BF"/>
          <w:sz w:val="24"/>
          <w:szCs w:val="24"/>
          <w:lang w:val="es-ES"/>
        </w:rPr>
        <w:t>se</w:t>
      </w:r>
      <w:r w:rsidR="00892951">
        <w:rPr>
          <w:rFonts w:ascii="Arial" w:hAnsi="Arial" w:cs="Arial"/>
          <w:b w:val="0"/>
          <w:bCs w:val="0"/>
          <w:i/>
          <w:iCs/>
          <w:color w:val="323E4F" w:themeColor="text2" w:themeShade="BF"/>
          <w:sz w:val="24"/>
          <w:szCs w:val="24"/>
          <w:lang w:val="es-ES"/>
        </w:rPr>
        <w:t xml:space="preserve"> deroga</w:t>
      </w:r>
      <w:r w:rsidR="00F100BA">
        <w:rPr>
          <w:rFonts w:ascii="Arial" w:hAnsi="Arial" w:cs="Arial"/>
          <w:b w:val="0"/>
          <w:bCs w:val="0"/>
          <w:i/>
          <w:iCs/>
          <w:color w:val="323E4F" w:themeColor="text2" w:themeShade="BF"/>
          <w:sz w:val="24"/>
          <w:szCs w:val="24"/>
          <w:lang w:val="es-ES"/>
        </w:rPr>
        <w:t>n</w:t>
      </w:r>
      <w:r w:rsidR="00892951">
        <w:rPr>
          <w:rFonts w:ascii="Arial" w:hAnsi="Arial" w:cs="Arial"/>
          <w:b w:val="0"/>
          <w:bCs w:val="0"/>
          <w:i/>
          <w:iCs/>
          <w:color w:val="323E4F" w:themeColor="text2" w:themeShade="BF"/>
          <w:sz w:val="24"/>
          <w:szCs w:val="24"/>
          <w:lang w:val="es-ES"/>
        </w:rPr>
        <w:t xml:space="preserve"> los Acuerdos de Autoridad</w:t>
      </w:r>
      <w:r w:rsidR="00C16FF8">
        <w:rPr>
          <w:rFonts w:ascii="Arial" w:hAnsi="Arial" w:cs="Arial"/>
          <w:b w:val="0"/>
          <w:bCs w:val="0"/>
          <w:i/>
          <w:iCs/>
          <w:color w:val="323E4F" w:themeColor="text2" w:themeShade="BF"/>
          <w:sz w:val="24"/>
          <w:szCs w:val="24"/>
          <w:lang w:val="es-ES"/>
        </w:rPr>
        <w:t xml:space="preserve"> Migratoria </w:t>
      </w:r>
      <w:r w:rsidR="00892951">
        <w:rPr>
          <w:rFonts w:ascii="Arial" w:hAnsi="Arial" w:cs="Arial"/>
          <w:b w:val="0"/>
          <w:bCs w:val="0"/>
          <w:i/>
          <w:iCs/>
          <w:color w:val="323E4F" w:themeColor="text2" w:themeShade="BF"/>
          <w:sz w:val="24"/>
          <w:szCs w:val="24"/>
          <w:lang w:val="es-ES"/>
        </w:rPr>
        <w:t xml:space="preserve"> </w:t>
      </w:r>
      <w:r w:rsidR="00C16FF8">
        <w:rPr>
          <w:rFonts w:ascii="Arial" w:hAnsi="Arial" w:cs="Arial"/>
          <w:b w:val="0"/>
          <w:bCs w:val="0"/>
          <w:i/>
          <w:iCs/>
          <w:color w:val="323E4F" w:themeColor="text2" w:themeShade="BF"/>
          <w:sz w:val="24"/>
          <w:szCs w:val="24"/>
          <w:lang w:val="es-ES"/>
        </w:rPr>
        <w:t>Nacional 03-2018 y 05-2019 y a</w:t>
      </w:r>
      <w:r>
        <w:rPr>
          <w:rFonts w:ascii="Arial" w:hAnsi="Arial" w:cs="Arial"/>
          <w:b w:val="0"/>
          <w:bCs w:val="0"/>
          <w:i/>
          <w:iCs/>
          <w:color w:val="323E4F" w:themeColor="text2" w:themeShade="BF"/>
          <w:sz w:val="24"/>
          <w:szCs w:val="24"/>
          <w:lang w:val="es-ES"/>
        </w:rPr>
        <w:t>pr</w:t>
      </w:r>
      <w:r w:rsidR="00C16FF8">
        <w:rPr>
          <w:rFonts w:ascii="Arial" w:hAnsi="Arial" w:cs="Arial"/>
          <w:b w:val="0"/>
          <w:bCs w:val="0"/>
          <w:i/>
          <w:iCs/>
          <w:color w:val="323E4F" w:themeColor="text2" w:themeShade="BF"/>
          <w:sz w:val="24"/>
          <w:szCs w:val="24"/>
          <w:lang w:val="es-ES"/>
        </w:rPr>
        <w:t>o</w:t>
      </w:r>
      <w:r>
        <w:rPr>
          <w:rFonts w:ascii="Arial" w:hAnsi="Arial" w:cs="Arial"/>
          <w:b w:val="0"/>
          <w:bCs w:val="0"/>
          <w:i/>
          <w:iCs/>
          <w:color w:val="323E4F" w:themeColor="text2" w:themeShade="BF"/>
          <w:sz w:val="24"/>
          <w:szCs w:val="24"/>
          <w:lang w:val="es-ES"/>
        </w:rPr>
        <w:t>ba</w:t>
      </w:r>
      <w:r w:rsidR="00C16FF8">
        <w:rPr>
          <w:rFonts w:ascii="Arial" w:hAnsi="Arial" w:cs="Arial"/>
          <w:b w:val="0"/>
          <w:bCs w:val="0"/>
          <w:i/>
          <w:iCs/>
          <w:color w:val="323E4F" w:themeColor="text2" w:themeShade="BF"/>
          <w:sz w:val="24"/>
          <w:szCs w:val="24"/>
          <w:lang w:val="es-ES"/>
        </w:rPr>
        <w:t>r</w:t>
      </w:r>
      <w:r>
        <w:rPr>
          <w:rFonts w:ascii="Arial" w:hAnsi="Arial" w:cs="Arial"/>
          <w:b w:val="0"/>
          <w:bCs w:val="0"/>
          <w:i/>
          <w:iCs/>
          <w:color w:val="323E4F" w:themeColor="text2" w:themeShade="BF"/>
          <w:sz w:val="24"/>
          <w:szCs w:val="24"/>
          <w:lang w:val="es-ES"/>
        </w:rPr>
        <w:t xml:space="preserve"> el Acuerdo Número IGM-00</w:t>
      </w:r>
      <w:r w:rsidR="00C16FF8">
        <w:rPr>
          <w:rFonts w:ascii="Arial" w:hAnsi="Arial" w:cs="Arial"/>
          <w:b w:val="0"/>
          <w:bCs w:val="0"/>
          <w:i/>
          <w:iCs/>
          <w:color w:val="323E4F" w:themeColor="text2" w:themeShade="BF"/>
          <w:sz w:val="24"/>
          <w:szCs w:val="24"/>
          <w:lang w:val="es-ES"/>
        </w:rPr>
        <w:t>52</w:t>
      </w:r>
      <w:r>
        <w:rPr>
          <w:rFonts w:ascii="Arial" w:hAnsi="Arial" w:cs="Arial"/>
          <w:b w:val="0"/>
          <w:bCs w:val="0"/>
          <w:i/>
          <w:iCs/>
          <w:color w:val="323E4F" w:themeColor="text2" w:themeShade="BF"/>
          <w:sz w:val="24"/>
          <w:szCs w:val="24"/>
          <w:lang w:val="es-ES"/>
        </w:rPr>
        <w:t xml:space="preserve">-2022 </w:t>
      </w:r>
      <w:r>
        <w:rPr>
          <w:rFonts w:ascii="Arial" w:hAnsi="Arial" w:cs="Arial"/>
          <w:b w:val="0"/>
          <w:bCs w:val="0"/>
          <w:i/>
          <w:iCs/>
          <w:color w:val="323E4F" w:themeColor="text2" w:themeShade="BF"/>
          <w:sz w:val="24"/>
          <w:szCs w:val="24"/>
          <w:lang w:val="es-ES"/>
        </w:rPr>
        <w:lastRenderedPageBreak/>
        <w:t xml:space="preserve">de fecha </w:t>
      </w:r>
      <w:r w:rsidR="00C16FF8">
        <w:rPr>
          <w:rFonts w:ascii="Arial" w:hAnsi="Arial" w:cs="Arial"/>
          <w:b w:val="0"/>
          <w:bCs w:val="0"/>
          <w:i/>
          <w:iCs/>
          <w:color w:val="323E4F" w:themeColor="text2" w:themeShade="BF"/>
          <w:sz w:val="24"/>
          <w:szCs w:val="24"/>
          <w:lang w:val="es-ES"/>
        </w:rPr>
        <w:t>uno</w:t>
      </w:r>
      <w:r>
        <w:rPr>
          <w:rFonts w:ascii="Arial" w:hAnsi="Arial" w:cs="Arial"/>
          <w:b w:val="0"/>
          <w:bCs w:val="0"/>
          <w:i/>
          <w:iCs/>
          <w:color w:val="323E4F" w:themeColor="text2" w:themeShade="BF"/>
          <w:sz w:val="24"/>
          <w:szCs w:val="24"/>
          <w:lang w:val="es-ES"/>
        </w:rPr>
        <w:t xml:space="preserve"> de a</w:t>
      </w:r>
      <w:r w:rsidR="00C16FF8">
        <w:rPr>
          <w:rFonts w:ascii="Arial" w:hAnsi="Arial" w:cs="Arial"/>
          <w:b w:val="0"/>
          <w:bCs w:val="0"/>
          <w:i/>
          <w:iCs/>
          <w:color w:val="323E4F" w:themeColor="text2" w:themeShade="BF"/>
          <w:sz w:val="24"/>
          <w:szCs w:val="24"/>
          <w:lang w:val="es-ES"/>
        </w:rPr>
        <w:t>b</w:t>
      </w:r>
      <w:r>
        <w:rPr>
          <w:rFonts w:ascii="Arial" w:hAnsi="Arial" w:cs="Arial"/>
          <w:b w:val="0"/>
          <w:bCs w:val="0"/>
          <w:i/>
          <w:iCs/>
          <w:color w:val="323E4F" w:themeColor="text2" w:themeShade="BF"/>
          <w:sz w:val="24"/>
          <w:szCs w:val="24"/>
          <w:lang w:val="es-ES"/>
        </w:rPr>
        <w:t>r</w:t>
      </w:r>
      <w:r w:rsidR="00C16FF8">
        <w:rPr>
          <w:rFonts w:ascii="Arial" w:hAnsi="Arial" w:cs="Arial"/>
          <w:b w:val="0"/>
          <w:bCs w:val="0"/>
          <w:i/>
          <w:iCs/>
          <w:color w:val="323E4F" w:themeColor="text2" w:themeShade="BF"/>
          <w:sz w:val="24"/>
          <w:szCs w:val="24"/>
          <w:lang w:val="es-ES"/>
        </w:rPr>
        <w:t>il</w:t>
      </w:r>
      <w:r>
        <w:rPr>
          <w:rFonts w:ascii="Arial" w:hAnsi="Arial" w:cs="Arial"/>
          <w:b w:val="0"/>
          <w:bCs w:val="0"/>
          <w:i/>
          <w:iCs/>
          <w:color w:val="323E4F" w:themeColor="text2" w:themeShade="BF"/>
          <w:sz w:val="24"/>
          <w:szCs w:val="24"/>
          <w:lang w:val="es-ES"/>
        </w:rPr>
        <w:t xml:space="preserve"> de 202</w:t>
      </w:r>
      <w:r w:rsidR="00C16FF8">
        <w:rPr>
          <w:rFonts w:ascii="Arial" w:hAnsi="Arial" w:cs="Arial"/>
          <w:b w:val="0"/>
          <w:bCs w:val="0"/>
          <w:i/>
          <w:iCs/>
          <w:color w:val="323E4F" w:themeColor="text2" w:themeShade="BF"/>
          <w:sz w:val="24"/>
          <w:szCs w:val="24"/>
          <w:lang w:val="es-ES"/>
        </w:rPr>
        <w:t>2</w:t>
      </w:r>
      <w:r>
        <w:rPr>
          <w:rFonts w:ascii="Arial" w:hAnsi="Arial" w:cs="Arial"/>
          <w:b w:val="0"/>
          <w:bCs w:val="0"/>
          <w:i/>
          <w:iCs/>
          <w:color w:val="323E4F" w:themeColor="text2" w:themeShade="BF"/>
          <w:sz w:val="24"/>
          <w:szCs w:val="24"/>
          <w:lang w:val="es-ES"/>
        </w:rPr>
        <w:t>,</w:t>
      </w:r>
      <w:r w:rsidR="00856EF4">
        <w:rPr>
          <w:rFonts w:ascii="Arial" w:hAnsi="Arial" w:cs="Arial"/>
          <w:b w:val="0"/>
          <w:bCs w:val="0"/>
          <w:i/>
          <w:iCs/>
          <w:color w:val="323E4F" w:themeColor="text2" w:themeShade="BF"/>
          <w:sz w:val="24"/>
          <w:szCs w:val="24"/>
          <w:lang w:val="es-ES"/>
        </w:rPr>
        <w:t xml:space="preserve"> que contiene el Tarifario de Servicios Migratorios del Instituto Guatemalteco de Migración</w:t>
      </w:r>
      <w:r>
        <w:rPr>
          <w:rFonts w:ascii="Arial" w:hAnsi="Arial" w:cs="Arial"/>
          <w:b w:val="0"/>
          <w:bCs w:val="0"/>
          <w:i/>
          <w:iCs/>
          <w:color w:val="323E4F" w:themeColor="text2" w:themeShade="BF"/>
          <w:sz w:val="24"/>
          <w:szCs w:val="24"/>
          <w:lang w:val="es-ES"/>
        </w:rPr>
        <w:t xml:space="preserve"> emitido por el </w:t>
      </w:r>
      <w:proofErr w:type="gramStart"/>
      <w:r>
        <w:rPr>
          <w:rFonts w:ascii="Arial" w:hAnsi="Arial" w:cs="Arial"/>
          <w:b w:val="0"/>
          <w:bCs w:val="0"/>
          <w:i/>
          <w:iCs/>
          <w:color w:val="323E4F" w:themeColor="text2" w:themeShade="BF"/>
          <w:sz w:val="24"/>
          <w:szCs w:val="24"/>
          <w:lang w:val="es-ES"/>
        </w:rPr>
        <w:t>Director General</w:t>
      </w:r>
      <w:proofErr w:type="gramEnd"/>
      <w:r>
        <w:rPr>
          <w:rFonts w:ascii="Arial" w:hAnsi="Arial" w:cs="Arial"/>
          <w:b w:val="0"/>
          <w:bCs w:val="0"/>
          <w:i/>
          <w:iCs/>
          <w:color w:val="323E4F" w:themeColor="text2" w:themeShade="BF"/>
          <w:sz w:val="24"/>
          <w:szCs w:val="24"/>
          <w:lang w:val="es-ES"/>
        </w:rPr>
        <w:t xml:space="preserve"> de Instituto Guatemalteco de Migración,</w:t>
      </w:r>
      <w:r w:rsidR="00C16FF8">
        <w:rPr>
          <w:rFonts w:ascii="Arial" w:hAnsi="Arial" w:cs="Arial"/>
          <w:b w:val="0"/>
          <w:bCs w:val="0"/>
          <w:i/>
          <w:iCs/>
          <w:color w:val="323E4F" w:themeColor="text2" w:themeShade="BF"/>
          <w:sz w:val="24"/>
          <w:szCs w:val="24"/>
          <w:lang w:val="es-ES"/>
        </w:rPr>
        <w:t xml:space="preserve"> publicado en el Diario de Centro América</w:t>
      </w:r>
      <w:r w:rsidR="004A3A2A">
        <w:rPr>
          <w:rFonts w:ascii="Arial" w:hAnsi="Arial" w:cs="Arial"/>
          <w:b w:val="0"/>
          <w:bCs w:val="0"/>
          <w:i/>
          <w:iCs/>
          <w:color w:val="323E4F" w:themeColor="text2" w:themeShade="BF"/>
          <w:sz w:val="24"/>
          <w:szCs w:val="24"/>
          <w:lang w:val="es-ES"/>
        </w:rPr>
        <w:t xml:space="preserve"> el 26 de abril de 2022</w:t>
      </w:r>
      <w:r w:rsidR="004654B3">
        <w:rPr>
          <w:rFonts w:ascii="Arial" w:hAnsi="Arial" w:cs="Arial"/>
          <w:b w:val="0"/>
          <w:bCs w:val="0"/>
          <w:i/>
          <w:iCs/>
          <w:color w:val="323E4F" w:themeColor="text2" w:themeShade="BF"/>
          <w:sz w:val="24"/>
          <w:szCs w:val="24"/>
          <w:lang w:val="es-ES"/>
        </w:rPr>
        <w:t>,</w:t>
      </w:r>
      <w:r>
        <w:rPr>
          <w:rFonts w:ascii="Arial" w:hAnsi="Arial" w:cs="Arial"/>
          <w:b w:val="0"/>
          <w:bCs w:val="0"/>
          <w:i/>
          <w:iCs/>
          <w:color w:val="323E4F" w:themeColor="text2" w:themeShade="BF"/>
          <w:sz w:val="24"/>
          <w:szCs w:val="24"/>
          <w:lang w:val="es-ES"/>
        </w:rPr>
        <w:t xml:space="preserve"> el cual entró en vigencia </w:t>
      </w:r>
      <w:r w:rsidR="00C16FF8">
        <w:rPr>
          <w:rFonts w:ascii="Arial" w:hAnsi="Arial" w:cs="Arial"/>
          <w:b w:val="0"/>
          <w:bCs w:val="0"/>
          <w:i/>
          <w:iCs/>
          <w:color w:val="323E4F" w:themeColor="text2" w:themeShade="BF"/>
          <w:sz w:val="24"/>
          <w:szCs w:val="24"/>
          <w:lang w:val="es-ES"/>
        </w:rPr>
        <w:t xml:space="preserve">a los ocho días siguientes </w:t>
      </w:r>
      <w:r w:rsidR="00AE3EBB">
        <w:rPr>
          <w:rFonts w:ascii="Arial" w:hAnsi="Arial" w:cs="Arial"/>
          <w:b w:val="0"/>
          <w:bCs w:val="0"/>
          <w:i/>
          <w:iCs/>
          <w:color w:val="323E4F" w:themeColor="text2" w:themeShade="BF"/>
          <w:sz w:val="24"/>
          <w:szCs w:val="24"/>
          <w:lang w:val="es-ES"/>
        </w:rPr>
        <w:t>de</w:t>
      </w:r>
      <w:r w:rsidR="00C16FF8">
        <w:rPr>
          <w:rFonts w:ascii="Arial" w:hAnsi="Arial" w:cs="Arial"/>
          <w:b w:val="0"/>
          <w:bCs w:val="0"/>
          <w:i/>
          <w:iCs/>
          <w:color w:val="323E4F" w:themeColor="text2" w:themeShade="BF"/>
          <w:sz w:val="24"/>
          <w:szCs w:val="24"/>
          <w:lang w:val="es-ES"/>
        </w:rPr>
        <w:t xml:space="preserve"> su publicación</w:t>
      </w:r>
      <w:r w:rsidR="004A3A2A">
        <w:rPr>
          <w:rFonts w:ascii="Arial" w:hAnsi="Arial" w:cs="Arial"/>
          <w:b w:val="0"/>
          <w:bCs w:val="0"/>
          <w:i/>
          <w:iCs/>
          <w:color w:val="323E4F" w:themeColor="text2" w:themeShade="BF"/>
          <w:sz w:val="24"/>
          <w:szCs w:val="24"/>
          <w:lang w:val="es-ES"/>
        </w:rPr>
        <w:t>.</w:t>
      </w:r>
    </w:p>
    <w:p w14:paraId="2B5538D1" w14:textId="4C60F29B" w:rsidR="008E0BA3" w:rsidRDefault="008E0BA3" w:rsidP="008E0BA3">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AMN-004-2022,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w:t>
      </w:r>
      <w:r w:rsidR="000C21A5">
        <w:rPr>
          <w:rFonts w:ascii="Arial" w:hAnsi="Arial" w:cs="Arial"/>
          <w:b w:val="0"/>
          <w:bCs w:val="0"/>
          <w:i/>
          <w:iCs/>
          <w:color w:val="323E4F" w:themeColor="text2" w:themeShade="BF"/>
          <w:sz w:val="24"/>
          <w:szCs w:val="24"/>
          <w:lang w:val="es-ES"/>
        </w:rPr>
        <w:t>cual 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 xml:space="preserve">ba el Acuerdo Número IGM-0051-2022 de fecha uno de abril de 2022, que contiene Reformas al Reglamento de Registro del Estatus Ordinario Migratorio del Instituto Guatemalteco de Migración, publicado en el Diario de Centro </w:t>
      </w:r>
      <w:r w:rsidR="0052366E">
        <w:rPr>
          <w:rFonts w:ascii="Arial" w:hAnsi="Arial" w:cs="Arial"/>
          <w:b w:val="0"/>
          <w:bCs w:val="0"/>
          <w:i/>
          <w:iCs/>
          <w:color w:val="323E4F" w:themeColor="text2" w:themeShade="BF"/>
          <w:sz w:val="24"/>
          <w:szCs w:val="24"/>
          <w:lang w:val="es-ES"/>
        </w:rPr>
        <w:t>América</w:t>
      </w:r>
      <w:r w:rsidR="000D2FAF">
        <w:rPr>
          <w:rFonts w:ascii="Arial" w:hAnsi="Arial" w:cs="Arial"/>
          <w:b w:val="0"/>
          <w:bCs w:val="0"/>
          <w:i/>
          <w:iCs/>
          <w:color w:val="323E4F" w:themeColor="text2" w:themeShade="BF"/>
          <w:sz w:val="24"/>
          <w:szCs w:val="24"/>
          <w:lang w:val="es-ES"/>
        </w:rPr>
        <w:t xml:space="preserve"> el 26 de abril de 2022,</w:t>
      </w:r>
      <w:r w:rsidR="0052366E">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cual entró en vigencia al</w:t>
      </w:r>
      <w:r w:rsidR="000D2FAF">
        <w:rPr>
          <w:rFonts w:ascii="Arial" w:hAnsi="Arial" w:cs="Arial"/>
          <w:b w:val="0"/>
          <w:bCs w:val="0"/>
          <w:i/>
          <w:iCs/>
          <w:color w:val="323E4F" w:themeColor="text2" w:themeShade="BF"/>
          <w:sz w:val="24"/>
          <w:szCs w:val="24"/>
          <w:lang w:val="es-ES"/>
        </w:rPr>
        <w:t xml:space="preserve"> </w:t>
      </w:r>
      <w:r>
        <w:rPr>
          <w:rFonts w:ascii="Arial" w:hAnsi="Arial" w:cs="Arial"/>
          <w:b w:val="0"/>
          <w:bCs w:val="0"/>
          <w:i/>
          <w:iCs/>
          <w:color w:val="323E4F" w:themeColor="text2" w:themeShade="BF"/>
          <w:sz w:val="24"/>
          <w:szCs w:val="24"/>
          <w:lang w:val="es-ES"/>
        </w:rPr>
        <w:t>día siguiente a su publicación</w:t>
      </w:r>
      <w:r w:rsidR="004A3A2A">
        <w:rPr>
          <w:rFonts w:ascii="Arial" w:hAnsi="Arial" w:cs="Arial"/>
          <w:b w:val="0"/>
          <w:bCs w:val="0"/>
          <w:i/>
          <w:iCs/>
          <w:color w:val="323E4F" w:themeColor="text2" w:themeShade="BF"/>
          <w:sz w:val="24"/>
          <w:szCs w:val="24"/>
          <w:lang w:val="es-ES"/>
        </w:rPr>
        <w:t>.</w:t>
      </w:r>
    </w:p>
    <w:p w14:paraId="17EDA587" w14:textId="1C10D196" w:rsidR="001A7ABB" w:rsidRDefault="001A7ABB" w:rsidP="001A7AB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AMN-005-2022,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0C21A5">
        <w:rPr>
          <w:rFonts w:ascii="Arial" w:hAnsi="Arial" w:cs="Arial"/>
          <w:b w:val="0"/>
          <w:bCs w:val="0"/>
          <w:i/>
          <w:iCs/>
          <w:color w:val="323E4F" w:themeColor="text2" w:themeShade="BF"/>
          <w:sz w:val="24"/>
          <w:szCs w:val="24"/>
          <w:lang w:val="es-ES"/>
        </w:rPr>
        <w:t>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ba el Acuerdo Número IGM-0050-2022 de fecha uno de abril de 2022, que contiene Reglamento para la emisión de certificaciones y constancias del Instituto Guatemalteco de Migración, publicado en el Diario de Centro América</w:t>
      </w:r>
      <w:r w:rsidR="000C21A5">
        <w:rPr>
          <w:rFonts w:ascii="Arial" w:hAnsi="Arial" w:cs="Arial"/>
          <w:b w:val="0"/>
          <w:bCs w:val="0"/>
          <w:i/>
          <w:iCs/>
          <w:color w:val="323E4F" w:themeColor="text2" w:themeShade="BF"/>
          <w:sz w:val="24"/>
          <w:szCs w:val="24"/>
          <w:lang w:val="es-ES"/>
        </w:rPr>
        <w:t xml:space="preserve"> el 26 de abril de 2022, </w:t>
      </w:r>
      <w:r>
        <w:rPr>
          <w:rFonts w:ascii="Arial" w:hAnsi="Arial" w:cs="Arial"/>
          <w:b w:val="0"/>
          <w:bCs w:val="0"/>
          <w:i/>
          <w:iCs/>
          <w:color w:val="323E4F" w:themeColor="text2" w:themeShade="BF"/>
          <w:sz w:val="24"/>
          <w:szCs w:val="24"/>
          <w:lang w:val="es-ES"/>
        </w:rPr>
        <w:t>el cual entró en vigencia</w:t>
      </w:r>
      <w:r w:rsidR="000C21A5">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día siguiente </w:t>
      </w:r>
      <w:r w:rsidR="000C21A5">
        <w:rPr>
          <w:rFonts w:ascii="Arial" w:hAnsi="Arial" w:cs="Arial"/>
          <w:b w:val="0"/>
          <w:bCs w:val="0"/>
          <w:i/>
          <w:iCs/>
          <w:color w:val="323E4F" w:themeColor="text2" w:themeShade="BF"/>
          <w:sz w:val="24"/>
          <w:szCs w:val="24"/>
          <w:lang w:val="es-ES"/>
        </w:rPr>
        <w:t>de</w:t>
      </w:r>
      <w:r>
        <w:rPr>
          <w:rFonts w:ascii="Arial" w:hAnsi="Arial" w:cs="Arial"/>
          <w:b w:val="0"/>
          <w:bCs w:val="0"/>
          <w:i/>
          <w:iCs/>
          <w:color w:val="323E4F" w:themeColor="text2" w:themeShade="BF"/>
          <w:sz w:val="24"/>
          <w:szCs w:val="24"/>
          <w:lang w:val="es-ES"/>
        </w:rPr>
        <w:t xml:space="preserve"> su publicación.</w:t>
      </w:r>
    </w:p>
    <w:p w14:paraId="15644886" w14:textId="4D7AED6C" w:rsidR="00A234D6" w:rsidRPr="00FA0E2F" w:rsidRDefault="00A234D6" w:rsidP="00A234D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Acuerdo</w:t>
      </w:r>
      <w:r w:rsidR="00EC17B6" w:rsidRPr="00FA0E2F">
        <w:rPr>
          <w:rFonts w:ascii="Arial" w:hAnsi="Arial" w:cs="Arial"/>
          <w:i/>
          <w:iCs/>
          <w:color w:val="323E4F" w:themeColor="text2" w:themeShade="BF"/>
          <w:sz w:val="24"/>
          <w:szCs w:val="24"/>
          <w:lang w:val="es-ES"/>
        </w:rPr>
        <w:t xml:space="preserve"> de Dirección General </w:t>
      </w:r>
      <w:r>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-0</w:t>
      </w:r>
      <w:r>
        <w:rPr>
          <w:rFonts w:ascii="Arial" w:hAnsi="Arial" w:cs="Arial"/>
          <w:bCs w:val="0"/>
          <w:i/>
          <w:color w:val="323E4F" w:themeColor="text2" w:themeShade="BF"/>
          <w:sz w:val="24"/>
          <w:szCs w:val="24"/>
          <w:lang w:val="es-ES"/>
        </w:rPr>
        <w:t>62</w:t>
      </w:r>
      <w:r w:rsidRPr="00FA0E2F">
        <w:rPr>
          <w:rFonts w:ascii="Arial" w:hAnsi="Arial" w:cs="Arial"/>
          <w:bCs w:val="0"/>
          <w:i/>
          <w:color w:val="323E4F" w:themeColor="text2" w:themeShade="BF"/>
          <w:sz w:val="24"/>
          <w:szCs w:val="24"/>
          <w:lang w:val="es-ES"/>
        </w:rPr>
        <w:t>-202</w:t>
      </w:r>
      <w:r>
        <w:rPr>
          <w:rFonts w:ascii="Arial" w:hAnsi="Arial" w:cs="Arial"/>
          <w:bCs w:val="0"/>
          <w:i/>
          <w:color w:val="323E4F" w:themeColor="text2" w:themeShade="BF"/>
          <w:sz w:val="24"/>
          <w:szCs w:val="24"/>
          <w:lang w:val="es-ES"/>
        </w:rPr>
        <w:t>2</w:t>
      </w:r>
      <w:r w:rsidRPr="00FA0E2F">
        <w:rPr>
          <w:rFonts w:ascii="Arial" w:hAnsi="Arial" w:cs="Arial"/>
          <w:bCs w:val="0"/>
          <w:i/>
          <w:color w:val="323E4F" w:themeColor="text2" w:themeShade="BF"/>
          <w:sz w:val="24"/>
          <w:szCs w:val="24"/>
          <w:lang w:val="es-ES"/>
        </w:rPr>
        <w:t xml:space="preserve">, </w:t>
      </w:r>
      <w:r w:rsidRPr="00FA0E2F">
        <w:rPr>
          <w:rFonts w:ascii="Arial" w:hAnsi="Arial" w:cs="Arial"/>
          <w:b w:val="0"/>
          <w:i/>
          <w:color w:val="323E4F" w:themeColor="text2" w:themeShade="BF"/>
          <w:sz w:val="24"/>
          <w:szCs w:val="24"/>
          <w:lang w:val="es-ES"/>
        </w:rPr>
        <w:t xml:space="preserve">mediante el </w:t>
      </w:r>
      <w:r w:rsidR="00080871" w:rsidRPr="00FA0E2F">
        <w:rPr>
          <w:rFonts w:ascii="Arial" w:hAnsi="Arial" w:cs="Arial"/>
          <w:b w:val="0"/>
          <w:i/>
          <w:color w:val="323E4F" w:themeColor="text2" w:themeShade="BF"/>
          <w:sz w:val="24"/>
          <w:szCs w:val="24"/>
          <w:lang w:val="es-ES"/>
        </w:rPr>
        <w:t>cual</w:t>
      </w:r>
      <w:r w:rsidR="00080871">
        <w:rPr>
          <w:rFonts w:ascii="Arial" w:hAnsi="Arial" w:cs="Arial"/>
          <w:b w:val="0"/>
          <w:i/>
          <w:color w:val="323E4F" w:themeColor="text2" w:themeShade="BF"/>
          <w:sz w:val="24"/>
          <w:szCs w:val="24"/>
          <w:lang w:val="es-ES"/>
        </w:rPr>
        <w:t xml:space="preserve"> se</w:t>
      </w:r>
      <w:r w:rsidR="00080871" w:rsidRPr="00FA0E2F">
        <w:rPr>
          <w:rFonts w:ascii="Arial" w:hAnsi="Arial" w:cs="Arial"/>
          <w:b w:val="0"/>
          <w:i/>
          <w:color w:val="323E4F" w:themeColor="text2" w:themeShade="BF"/>
          <w:sz w:val="24"/>
          <w:szCs w:val="24"/>
          <w:lang w:val="es-ES"/>
        </w:rPr>
        <w:t xml:space="preserve"> aprueba</w:t>
      </w:r>
      <w:r w:rsidRPr="00FA0E2F">
        <w:rPr>
          <w:rFonts w:ascii="Arial" w:hAnsi="Arial" w:cs="Arial"/>
          <w:b w:val="0"/>
          <w:i/>
          <w:color w:val="323E4F" w:themeColor="text2" w:themeShade="BF"/>
          <w:sz w:val="24"/>
          <w:szCs w:val="24"/>
          <w:lang w:val="es-ES"/>
        </w:rPr>
        <w:t xml:space="preserve"> el Manual de</w:t>
      </w:r>
      <w:r>
        <w:rPr>
          <w:rFonts w:ascii="Arial" w:hAnsi="Arial" w:cs="Arial"/>
          <w:b w:val="0"/>
          <w:i/>
          <w:color w:val="323E4F" w:themeColor="text2" w:themeShade="BF"/>
          <w:sz w:val="24"/>
          <w:szCs w:val="24"/>
          <w:lang w:val="es-ES"/>
        </w:rPr>
        <w:t xml:space="preserve"> Normas y Procedimientos de la Subdirección Jurídica</w:t>
      </w:r>
      <w:r w:rsidRPr="00FA0E2F">
        <w:rPr>
          <w:rFonts w:ascii="Arial" w:hAnsi="Arial" w:cs="Arial"/>
          <w:b w:val="0"/>
          <w:i/>
          <w:color w:val="323E4F" w:themeColor="text2" w:themeShade="BF"/>
          <w:sz w:val="24"/>
          <w:szCs w:val="24"/>
          <w:lang w:val="es-ES"/>
        </w:rPr>
        <w:t xml:space="preserve"> del Instituto Guatemalteco de </w:t>
      </w:r>
      <w:r w:rsidR="005927ED" w:rsidRPr="00FA0E2F">
        <w:rPr>
          <w:rFonts w:ascii="Arial" w:hAnsi="Arial" w:cs="Arial"/>
          <w:b w:val="0"/>
          <w:i/>
          <w:color w:val="323E4F" w:themeColor="text2" w:themeShade="BF"/>
          <w:sz w:val="24"/>
          <w:szCs w:val="24"/>
          <w:lang w:val="es-ES"/>
        </w:rPr>
        <w:t>Migración, de</w:t>
      </w:r>
      <w:r w:rsidRPr="00FA0E2F">
        <w:rPr>
          <w:rFonts w:ascii="Arial" w:hAnsi="Arial" w:cs="Arial"/>
          <w:b w:val="0"/>
          <w:i/>
          <w:color w:val="323E4F" w:themeColor="text2" w:themeShade="BF"/>
          <w:sz w:val="24"/>
          <w:szCs w:val="24"/>
          <w:lang w:val="es-ES"/>
        </w:rPr>
        <w:t xml:space="preserve"> fecha </w:t>
      </w:r>
      <w:r>
        <w:rPr>
          <w:rFonts w:ascii="Arial" w:hAnsi="Arial" w:cs="Arial"/>
          <w:b w:val="0"/>
          <w:i/>
          <w:color w:val="323E4F" w:themeColor="text2" w:themeShade="BF"/>
          <w:sz w:val="24"/>
          <w:szCs w:val="24"/>
          <w:lang w:val="es-ES"/>
        </w:rPr>
        <w:t>22</w:t>
      </w:r>
      <w:r w:rsidRPr="00FA0E2F">
        <w:rPr>
          <w:rFonts w:ascii="Arial" w:hAnsi="Arial" w:cs="Arial"/>
          <w:b w:val="0"/>
          <w:i/>
          <w:color w:val="323E4F" w:themeColor="text2" w:themeShade="BF"/>
          <w:sz w:val="24"/>
          <w:szCs w:val="24"/>
          <w:lang w:val="es-ES"/>
        </w:rPr>
        <w:t xml:space="preserve"> de </w:t>
      </w:r>
      <w:r>
        <w:rPr>
          <w:rFonts w:ascii="Arial" w:hAnsi="Arial" w:cs="Arial"/>
          <w:b w:val="0"/>
          <w:i/>
          <w:color w:val="323E4F" w:themeColor="text2" w:themeShade="BF"/>
          <w:sz w:val="24"/>
          <w:szCs w:val="24"/>
          <w:lang w:val="es-ES"/>
        </w:rPr>
        <w:t>julio</w:t>
      </w:r>
      <w:r w:rsidRPr="00FA0E2F">
        <w:rPr>
          <w:rFonts w:ascii="Arial" w:hAnsi="Arial" w:cs="Arial"/>
          <w:b w:val="0"/>
          <w:i/>
          <w:color w:val="323E4F" w:themeColor="text2" w:themeShade="BF"/>
          <w:sz w:val="24"/>
          <w:szCs w:val="24"/>
          <w:lang w:val="es-ES"/>
        </w:rPr>
        <w:t xml:space="preserve"> de 2021.</w:t>
      </w:r>
    </w:p>
    <w:p w14:paraId="02C769C0" w14:textId="77777777" w:rsidR="002F11A0" w:rsidRPr="00A234D6" w:rsidRDefault="002F11A0" w:rsidP="00A234D6">
      <w:pPr>
        <w:pStyle w:val="Ttulo1"/>
        <w:spacing w:before="0" w:beforeAutospacing="0" w:after="0" w:afterAutospacing="0" w:line="360" w:lineRule="auto"/>
        <w:ind w:left="720" w:right="237"/>
        <w:jc w:val="both"/>
        <w:rPr>
          <w:rFonts w:ascii="Arial" w:hAnsi="Arial" w:cs="Arial"/>
          <w:b w:val="0"/>
          <w:bCs w:val="0"/>
          <w:i/>
          <w:iCs/>
          <w:color w:val="323E4F" w:themeColor="text2" w:themeShade="BF"/>
          <w:sz w:val="24"/>
          <w:szCs w:val="24"/>
          <w:lang w:val="es-ES"/>
        </w:rPr>
      </w:pPr>
    </w:p>
    <w:p w14:paraId="686DAE6E" w14:textId="37308C3E"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OTRAS NORMAS APLICABLES</w:t>
      </w:r>
    </w:p>
    <w:p w14:paraId="5C8107C8" w14:textId="77777777" w:rsidR="002F11A0" w:rsidRPr="00FA0E2F" w:rsidRDefault="002F11A0"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3477ED4F" w14:textId="4EAD8622" w:rsidR="005F29B6" w:rsidRPr="00FA0E2F" w:rsidRDefault="00682C0E"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r>
        <w:rPr>
          <w:rFonts w:ascii="Arial" w:hAnsi="Arial" w:cs="Arial"/>
          <w:i/>
          <w:iCs/>
          <w:color w:val="323E4F" w:themeColor="text2" w:themeShade="BF"/>
          <w:sz w:val="24"/>
          <w:szCs w:val="24"/>
          <w:lang w:val="es-ES"/>
        </w:rPr>
        <w:t>Manual</w:t>
      </w:r>
      <w:r w:rsidR="004200D9" w:rsidRPr="00FA0E2F">
        <w:rPr>
          <w:rFonts w:ascii="Arial" w:hAnsi="Arial" w:cs="Arial"/>
          <w:i/>
          <w:iCs/>
          <w:color w:val="323E4F" w:themeColor="text2" w:themeShade="BF"/>
          <w:sz w:val="24"/>
          <w:szCs w:val="24"/>
          <w:lang w:val="es-ES"/>
        </w:rPr>
        <w:t xml:space="preserve">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lastRenderedPageBreak/>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75BB83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 xml:space="preserve">Acuerdo Gubernativo </w:t>
      </w:r>
      <w:r w:rsidR="005927ED" w:rsidRPr="00FA0E2F">
        <w:rPr>
          <w:rFonts w:ascii="Arial" w:hAnsi="Arial" w:cs="Arial"/>
          <w:bCs/>
          <w:i/>
          <w:iCs/>
          <w:color w:val="323E4F" w:themeColor="text2" w:themeShade="BF"/>
        </w:rPr>
        <w:t>Número 122</w:t>
      </w:r>
      <w:r w:rsidRPr="00FA0E2F">
        <w:rPr>
          <w:rFonts w:ascii="Arial" w:hAnsi="Arial" w:cs="Arial"/>
          <w:bCs/>
          <w:i/>
          <w:iCs/>
          <w:color w:val="323E4F" w:themeColor="text2" w:themeShade="BF"/>
        </w:rPr>
        <w:t>-2016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4EA83E5C" w14:textId="18358D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Reformas al Acuerdo Gubernativo Número 122-2016 Reglamento de la Ley de Contrataciones del Estado, </w:t>
      </w:r>
      <w:r w:rsidRPr="00FA0E2F">
        <w:rPr>
          <w:rFonts w:ascii="Arial" w:hAnsi="Arial" w:cs="Arial"/>
          <w:bCs/>
          <w:i/>
          <w:iCs/>
          <w:color w:val="323E4F" w:themeColor="text2" w:themeShade="BF"/>
        </w:rPr>
        <w:t xml:space="preserve">Acuerdo Gubernativo </w:t>
      </w:r>
      <w:r w:rsidR="00433067" w:rsidRPr="00FA0E2F">
        <w:rPr>
          <w:rFonts w:ascii="Arial" w:hAnsi="Arial" w:cs="Arial"/>
          <w:bCs/>
          <w:i/>
          <w:iCs/>
          <w:color w:val="323E4F" w:themeColor="text2" w:themeShade="BF"/>
        </w:rPr>
        <w:t>Número 147</w:t>
      </w:r>
      <w:r w:rsidRPr="00FA0E2F">
        <w:rPr>
          <w:rFonts w:ascii="Arial" w:hAnsi="Arial" w:cs="Arial"/>
          <w:bCs/>
          <w:i/>
          <w:iCs/>
          <w:color w:val="323E4F" w:themeColor="text2" w:themeShade="BF"/>
        </w:rPr>
        <w:t>-2021</w:t>
      </w:r>
      <w:r w:rsidR="00BF3CC0">
        <w:rPr>
          <w:rFonts w:ascii="Arial" w:hAnsi="Arial" w:cs="Arial"/>
          <w:bCs/>
          <w:i/>
          <w:iCs/>
          <w:color w:val="323E4F" w:themeColor="text2" w:themeShade="BF"/>
        </w:rPr>
        <w:t>.</w:t>
      </w:r>
    </w:p>
    <w:p w14:paraId="2D3EC4AE" w14:textId="447AB5FB" w:rsidR="007832CB" w:rsidRPr="00FA0E2F" w:rsidRDefault="00FA455D" w:rsidP="00F706CC">
      <w:pPr>
        <w:pStyle w:val="NormalWeb"/>
        <w:numPr>
          <w:ilvl w:val="0"/>
          <w:numId w:val="2"/>
        </w:numPr>
        <w:spacing w:line="360" w:lineRule="auto"/>
        <w:jc w:val="both"/>
        <w:rPr>
          <w:rFonts w:ascii="Arial" w:hAnsi="Arial" w:cs="Arial"/>
          <w:i/>
          <w:iCs/>
          <w:color w:val="323E4F" w:themeColor="text2" w:themeShade="BF"/>
        </w:rPr>
      </w:pPr>
      <w:r w:rsidRPr="00FA0E2F">
        <w:rPr>
          <w:rFonts w:ascii="Arial" w:hAnsi="Arial" w:cs="Arial"/>
          <w:b/>
          <w:i/>
          <w:iCs/>
          <w:color w:val="323E4F" w:themeColor="text2" w:themeShade="BF"/>
        </w:rPr>
        <w:t xml:space="preserve">Acuerdo Gubernativo 265-2021, </w:t>
      </w:r>
      <w:r w:rsidRPr="00FA0E2F">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F8E" w:rsidRPr="00FA0E2F" w:rsidSect="00F10B1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055C" w14:textId="77777777" w:rsidR="00F0755C" w:rsidRDefault="00F0755C" w:rsidP="00E273FA">
      <w:pPr>
        <w:spacing w:after="0" w:line="240" w:lineRule="auto"/>
      </w:pPr>
      <w:r>
        <w:separator/>
      </w:r>
    </w:p>
  </w:endnote>
  <w:endnote w:type="continuationSeparator" w:id="0">
    <w:p w14:paraId="682E31C9" w14:textId="77777777" w:rsidR="00F0755C" w:rsidRDefault="00F0755C"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D8A1" w14:textId="77777777" w:rsidR="00F0755C" w:rsidRDefault="00F0755C" w:rsidP="00E273FA">
      <w:pPr>
        <w:spacing w:after="0" w:line="240" w:lineRule="auto"/>
      </w:pPr>
      <w:r>
        <w:separator/>
      </w:r>
    </w:p>
  </w:footnote>
  <w:footnote w:type="continuationSeparator" w:id="0">
    <w:p w14:paraId="25DAB201" w14:textId="77777777" w:rsidR="00F0755C" w:rsidRDefault="00F0755C"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4439F9C5" w:rsidR="00E273FA" w:rsidRPr="00E273FA" w:rsidRDefault="00901AEB" w:rsidP="00E273FA">
    <w:pPr>
      <w:pStyle w:val="Encabezado"/>
      <w:jc w:val="center"/>
      <w:rPr>
        <w:color w:val="1F3864" w:themeColor="accent1" w:themeShade="80"/>
      </w:rPr>
    </w:pPr>
    <w:r>
      <w:rPr>
        <w:color w:val="1F3864" w:themeColor="accent1" w:themeShade="80"/>
      </w:rPr>
      <w:t>DICIEMBRE</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 w:numId="6" w16cid:durableId="136139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00253"/>
    <w:rsid w:val="000141A8"/>
    <w:rsid w:val="0001716C"/>
    <w:rsid w:val="00052E59"/>
    <w:rsid w:val="00055A9E"/>
    <w:rsid w:val="00076B2F"/>
    <w:rsid w:val="00080871"/>
    <w:rsid w:val="000A1C25"/>
    <w:rsid w:val="000C21A5"/>
    <w:rsid w:val="000D2FAF"/>
    <w:rsid w:val="00101D34"/>
    <w:rsid w:val="0013522D"/>
    <w:rsid w:val="001760BA"/>
    <w:rsid w:val="0019133D"/>
    <w:rsid w:val="00196786"/>
    <w:rsid w:val="00197E8D"/>
    <w:rsid w:val="001A7ABB"/>
    <w:rsid w:val="001C1299"/>
    <w:rsid w:val="0020447A"/>
    <w:rsid w:val="00236820"/>
    <w:rsid w:val="0028089D"/>
    <w:rsid w:val="002A0888"/>
    <w:rsid w:val="002B7C82"/>
    <w:rsid w:val="002D24BC"/>
    <w:rsid w:val="002F11A0"/>
    <w:rsid w:val="00350D38"/>
    <w:rsid w:val="003851AB"/>
    <w:rsid w:val="003A1BB9"/>
    <w:rsid w:val="003B791C"/>
    <w:rsid w:val="003C3F9B"/>
    <w:rsid w:val="003E57CD"/>
    <w:rsid w:val="003F69BF"/>
    <w:rsid w:val="003F7707"/>
    <w:rsid w:val="004048C8"/>
    <w:rsid w:val="004200D9"/>
    <w:rsid w:val="00433067"/>
    <w:rsid w:val="00433105"/>
    <w:rsid w:val="00444522"/>
    <w:rsid w:val="004654B3"/>
    <w:rsid w:val="004A3A2A"/>
    <w:rsid w:val="004B7927"/>
    <w:rsid w:val="0052366E"/>
    <w:rsid w:val="00531600"/>
    <w:rsid w:val="005927ED"/>
    <w:rsid w:val="005A4D8C"/>
    <w:rsid w:val="005F29B6"/>
    <w:rsid w:val="006055D0"/>
    <w:rsid w:val="0063449F"/>
    <w:rsid w:val="006617B0"/>
    <w:rsid w:val="00671FB2"/>
    <w:rsid w:val="00682C0E"/>
    <w:rsid w:val="006B6EA0"/>
    <w:rsid w:val="00720F38"/>
    <w:rsid w:val="00773279"/>
    <w:rsid w:val="00777BA8"/>
    <w:rsid w:val="007832CB"/>
    <w:rsid w:val="007C60E4"/>
    <w:rsid w:val="0081243D"/>
    <w:rsid w:val="00815827"/>
    <w:rsid w:val="00837B5D"/>
    <w:rsid w:val="00856EF4"/>
    <w:rsid w:val="0087018D"/>
    <w:rsid w:val="00892951"/>
    <w:rsid w:val="008B3F3A"/>
    <w:rsid w:val="008C7DE7"/>
    <w:rsid w:val="008E0BA3"/>
    <w:rsid w:val="008E28A3"/>
    <w:rsid w:val="008F20B7"/>
    <w:rsid w:val="008F655F"/>
    <w:rsid w:val="00901AEB"/>
    <w:rsid w:val="00910ED1"/>
    <w:rsid w:val="009121D5"/>
    <w:rsid w:val="009302B0"/>
    <w:rsid w:val="009433AB"/>
    <w:rsid w:val="009809EF"/>
    <w:rsid w:val="009A6EB3"/>
    <w:rsid w:val="009B101D"/>
    <w:rsid w:val="009C24C9"/>
    <w:rsid w:val="009C6A35"/>
    <w:rsid w:val="009D6D5F"/>
    <w:rsid w:val="00A00FBB"/>
    <w:rsid w:val="00A049D3"/>
    <w:rsid w:val="00A234D6"/>
    <w:rsid w:val="00A31B1A"/>
    <w:rsid w:val="00A36C92"/>
    <w:rsid w:val="00A82E13"/>
    <w:rsid w:val="00AD3F78"/>
    <w:rsid w:val="00AE3EBB"/>
    <w:rsid w:val="00AE7663"/>
    <w:rsid w:val="00AF6325"/>
    <w:rsid w:val="00B01411"/>
    <w:rsid w:val="00B365CA"/>
    <w:rsid w:val="00B475B6"/>
    <w:rsid w:val="00B818DF"/>
    <w:rsid w:val="00BA0C0A"/>
    <w:rsid w:val="00BA3135"/>
    <w:rsid w:val="00BD2F2E"/>
    <w:rsid w:val="00BF3CC0"/>
    <w:rsid w:val="00C16FF8"/>
    <w:rsid w:val="00C26686"/>
    <w:rsid w:val="00C54BC1"/>
    <w:rsid w:val="00C56A41"/>
    <w:rsid w:val="00CE2E1E"/>
    <w:rsid w:val="00CE5B8E"/>
    <w:rsid w:val="00D26649"/>
    <w:rsid w:val="00D90101"/>
    <w:rsid w:val="00DA707E"/>
    <w:rsid w:val="00DF27A5"/>
    <w:rsid w:val="00E00026"/>
    <w:rsid w:val="00E273FA"/>
    <w:rsid w:val="00E356C3"/>
    <w:rsid w:val="00E40C30"/>
    <w:rsid w:val="00E569AB"/>
    <w:rsid w:val="00EA0C92"/>
    <w:rsid w:val="00EB7ECF"/>
    <w:rsid w:val="00EC11F7"/>
    <w:rsid w:val="00EC17B6"/>
    <w:rsid w:val="00ED5F8E"/>
    <w:rsid w:val="00EF2CF1"/>
    <w:rsid w:val="00EF468C"/>
    <w:rsid w:val="00F01EF9"/>
    <w:rsid w:val="00F0755C"/>
    <w:rsid w:val="00F100BA"/>
    <w:rsid w:val="00F10B1A"/>
    <w:rsid w:val="00F17EAA"/>
    <w:rsid w:val="00F46A1B"/>
    <w:rsid w:val="00F627F5"/>
    <w:rsid w:val="00F706CC"/>
    <w:rsid w:val="00F72E45"/>
    <w:rsid w:val="00F76717"/>
    <w:rsid w:val="00F87D10"/>
    <w:rsid w:val="00FA0E2F"/>
    <w:rsid w:val="00FA455D"/>
    <w:rsid w:val="00FA798F"/>
    <w:rsid w:val="00FB0CB2"/>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Héctor Andrés Corzantes Arévalo</cp:lastModifiedBy>
  <cp:revision>2</cp:revision>
  <cp:lastPrinted>2022-10-03T13:59:00Z</cp:lastPrinted>
  <dcterms:created xsi:type="dcterms:W3CDTF">2022-12-01T23:54:00Z</dcterms:created>
  <dcterms:modified xsi:type="dcterms:W3CDTF">2022-12-01T23:54:00Z</dcterms:modified>
</cp:coreProperties>
</file>