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  <w:bookmarkStart w:id="0" w:name="_GoBack"/>
      <w:bookmarkEnd w:id="0"/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Misión</w:t>
      </w:r>
    </w:p>
    <w:p w:rsidR="00781B49" w:rsidRP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El Instituto Guatemalteco de Migración tiene como misión el velar por el respeto al derecho humano de migrar, garantizarlo mediante la administración adecuada del derecho migratorio y la asistencia y protección oportuna de aquellas personas migrantes extranjeras o nacionales que lo requieran. Asimismo, constituirse como un órgano descentralizado en la prestación de los servicios públicos migratorios, orientando su acción al respeto de los derechos humanos de las personas.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Visión</w:t>
      </w:r>
    </w:p>
    <w:p w:rsidR="00ED5F8E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Ser la entidad referente de atención al usuario y en materia Migratoria, del Organismo Ejecutivo que, de manera descentralizada y como parte de la Autoridad Migratoria Nacional del Estado de Guatemala, lidera la Gestión del Sistema Migratorio Guatemalteco y Política Migratoria mediante gestión por resultados a nivel Nacional Regional e Internacional.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Objetivos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781B49" w:rsidRDefault="00781B49" w:rsidP="00781B49">
      <w:pPr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Política Migratoria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Formular, crear, coordinar, articular, alinear, implantar, implementar y ejecutar el monitoreo, seguimiento, evaluación y retroalimentación de la Política Migratoria Integral a nivel nacional.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 xml:space="preserve">Establecer acuerdos y convenios </w:t>
      </w:r>
      <w:proofErr w:type="spellStart"/>
      <w:r w:rsidRPr="00781B49">
        <w:rPr>
          <w:rFonts w:ascii="Lato" w:hAnsi="Lato"/>
        </w:rPr>
        <w:t>intra</w:t>
      </w:r>
      <w:proofErr w:type="spellEnd"/>
      <w:r w:rsidRPr="00781B49">
        <w:rPr>
          <w:rFonts w:ascii="Lato" w:hAnsi="Lato"/>
        </w:rPr>
        <w:t xml:space="preserve"> e interinstitucionales para el fortalecimiento de las actividades migratorias e intercambio de información, entre otras.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Integrar los compromisos migratorios adquiridos por Guatemala en el ámbito nacional e internacional.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Liderar la coordinación y gestión interinstitucional integral desde el ámbito de su competencia.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Atención y protección de derechos fundamentales de los migrantes</w:t>
      </w:r>
      <w:r w:rsidR="00245F5A">
        <w:rPr>
          <w:rFonts w:ascii="Lato" w:hAnsi="Lato"/>
        </w:rPr>
        <w:t>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Garantizar el derecho a migrar, la protección y la asistencia de las personas migrantes nacionales y extranjeras.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Default="00781B49">
      <w:pPr>
        <w:rPr>
          <w:rFonts w:ascii="Lato" w:hAnsi="Lato"/>
        </w:rPr>
      </w:pPr>
      <w:r>
        <w:rPr>
          <w:rFonts w:ascii="Lato" w:hAnsi="Lato"/>
        </w:rPr>
        <w:br w:type="page"/>
      </w:r>
    </w:p>
    <w:p w:rsidR="003132CF" w:rsidRDefault="003132CF" w:rsidP="00811258">
      <w:pPr>
        <w:rPr>
          <w:rFonts w:ascii="Lato" w:hAnsi="Lato"/>
          <w:b/>
          <w:sz w:val="24"/>
          <w:szCs w:val="24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Control Migratorio</w:t>
      </w:r>
    </w:p>
    <w:p w:rsidR="00781B49" w:rsidRPr="00811258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Coadyuvar con la seguridad migratoria de Nacionales y Extranjeros, control y registro de ingresos y egresos del país.</w:t>
      </w:r>
    </w:p>
    <w:p w:rsidR="00781B49" w:rsidRPr="00811258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Mejorar los controles migratorio para el registro de personas migrantes durante el origen, tránsito, destino y retorno.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Documentos de Identidad personal y de viaje</w:t>
      </w:r>
    </w:p>
    <w:p w:rsidR="00781B49" w:rsidRPr="00811258" w:rsidRDefault="00781B49" w:rsidP="00811258">
      <w:pPr>
        <w:pStyle w:val="Prrafodelista"/>
        <w:numPr>
          <w:ilvl w:val="0"/>
          <w:numId w:val="4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Incrementar bajo un modelo de gestión de calidad, los Centros de Emisión de Pasaportes de manera desconcentrada para aumentar la atención a la población guatemalteca.</w:t>
      </w:r>
    </w:p>
    <w:p w:rsidR="00811258" w:rsidRDefault="00811258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Emisión de visas y residencias a extranjeros</w:t>
      </w:r>
    </w:p>
    <w:p w:rsidR="00781B49" w:rsidRPr="00811258" w:rsidRDefault="00781B49" w:rsidP="00811258">
      <w:pPr>
        <w:pStyle w:val="Prrafodelista"/>
        <w:numPr>
          <w:ilvl w:val="0"/>
          <w:numId w:val="3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Incrementar bajo un modelo de gestión de calidad, los Centros de Emisión de Visas y Residencias a personas extranjeras, que solicitan los servicios en Guatemala.</w:t>
      </w:r>
    </w:p>
    <w:p w:rsidR="00811258" w:rsidRDefault="00811258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Fortalecimiento técnico, administrativo-financiero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Descentralizar y ejercer exclusiva competencia en materia del Instituto Guatemalteco de Migración, a nivel nacional, regional y departamental.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Desconcentrar al Instituto Guatemalteco de Migración, con sedes regionales, departamentales y en fronteras priorizadas del país.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Fortalecer al Instituto Guatemalteco de Migración y modernizar su operación con plataformas y sistemas informáticos de punta.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 xml:space="preserve">Crear e impulsar los mecanismos financieros necesarios que busquen la </w:t>
      </w:r>
      <w:proofErr w:type="spellStart"/>
      <w:r w:rsidRPr="00811258">
        <w:rPr>
          <w:rFonts w:ascii="Lato" w:hAnsi="Lato"/>
        </w:rPr>
        <w:t>autosostenibilidad</w:t>
      </w:r>
      <w:proofErr w:type="spellEnd"/>
      <w:r w:rsidRPr="00811258">
        <w:rPr>
          <w:rFonts w:ascii="Lato" w:hAnsi="Lato"/>
        </w:rPr>
        <w:t xml:space="preserve"> financiera y complemente los ingresos privativos del IGM con apoyo de la cooperación internacional.</w:t>
      </w:r>
    </w:p>
    <w:sectPr w:rsidR="00781B49" w:rsidRPr="008112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C4" w:rsidRDefault="00734DC4" w:rsidP="00E273FA">
      <w:pPr>
        <w:spacing w:after="0" w:line="240" w:lineRule="auto"/>
      </w:pPr>
      <w:r>
        <w:separator/>
      </w:r>
    </w:p>
  </w:endnote>
  <w:endnote w:type="continuationSeparator" w:id="0">
    <w:p w:rsidR="00734DC4" w:rsidRDefault="00734DC4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Default="00E273FA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45C8BAA" wp14:editId="0D66C736">
          <wp:simplePos x="0" y="0"/>
          <wp:positionH relativeFrom="page">
            <wp:align>right</wp:align>
          </wp:positionH>
          <wp:positionV relativeFrom="paragraph">
            <wp:posOffset>-609600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C4" w:rsidRDefault="00734DC4" w:rsidP="00E273FA">
      <w:pPr>
        <w:spacing w:after="0" w:line="240" w:lineRule="auto"/>
      </w:pPr>
      <w:r>
        <w:separator/>
      </w:r>
    </w:p>
  </w:footnote>
  <w:footnote w:type="continuationSeparator" w:id="0">
    <w:p w:rsidR="00734DC4" w:rsidRDefault="00734DC4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noProof/>
        <w:color w:val="FF0000"/>
        <w:sz w:val="18"/>
        <w:lang w:eastAsia="es-GT"/>
      </w:rPr>
      <w:drawing>
        <wp:anchor distT="0" distB="0" distL="114300" distR="114300" simplePos="0" relativeHeight="251658240" behindDoc="0" locked="0" layoutInCell="1" allowOverlap="1" wp14:anchorId="2CDFDBBB" wp14:editId="22FD542D">
          <wp:simplePos x="0" y="0"/>
          <wp:positionH relativeFrom="margin">
            <wp:posOffset>-870585</wp:posOffset>
          </wp:positionH>
          <wp:positionV relativeFrom="paragraph">
            <wp:posOffset>-193040</wp:posOffset>
          </wp:positionV>
          <wp:extent cx="1466850" cy="8477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2B0">
      <w:rPr>
        <w:b/>
        <w:color w:val="FF0000"/>
        <w:sz w:val="32"/>
      </w:rPr>
      <w:t>INSTITUTO GUATEMALTECO DE MIGRACIÓN</w:t>
    </w:r>
  </w:p>
  <w:p w:rsidR="00E273FA" w:rsidRPr="00E273FA" w:rsidRDefault="009302B0" w:rsidP="00E273FA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 de Planificación:</w:t>
    </w:r>
  </w:p>
  <w:p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Responsable de Actualizar la Información:</w:t>
    </w:r>
  </w:p>
  <w:p w:rsidR="001670BA" w:rsidRPr="00E273FA" w:rsidRDefault="00E273FA" w:rsidP="001670B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Fecha de Emisión:</w:t>
    </w:r>
    <w:r w:rsidR="001670BA">
      <w:rPr>
        <w:color w:val="1F3864" w:themeColor="accent1" w:themeShade="80"/>
      </w:rPr>
      <w:t xml:space="preserve"> Enero 2022</w:t>
    </w:r>
  </w:p>
  <w:p w:rsid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(</w:t>
    </w:r>
    <w:r w:rsidR="009302B0">
      <w:rPr>
        <w:color w:val="1F3864" w:themeColor="accent1" w:themeShade="80"/>
      </w:rPr>
      <w:t>A</w:t>
    </w:r>
    <w:r w:rsidRPr="00E273FA">
      <w:rPr>
        <w:color w:val="1F3864" w:themeColor="accent1" w:themeShade="80"/>
      </w:rPr>
      <w:t xml:space="preserve">rtículo 10, numeral </w:t>
    </w:r>
    <w:r w:rsidR="009302B0">
      <w:rPr>
        <w:color w:val="1F3864" w:themeColor="accent1" w:themeShade="80"/>
      </w:rPr>
      <w:t>0</w:t>
    </w:r>
    <w:r w:rsidR="00095EC2">
      <w:rPr>
        <w:color w:val="1F3864" w:themeColor="accent1" w:themeShade="80"/>
      </w:rPr>
      <w:t>5</w:t>
    </w:r>
    <w:r w:rsidRPr="00E273FA">
      <w:rPr>
        <w:color w:val="1F3864" w:themeColor="accent1" w:themeShade="80"/>
      </w:rPr>
      <w:t>, Ley de Acceso a la Información Pública)</w:t>
    </w:r>
  </w:p>
  <w:p w:rsidR="009302B0" w:rsidRDefault="009302B0" w:rsidP="00E273FA">
    <w:pPr>
      <w:pStyle w:val="Encabezado"/>
      <w:jc w:val="center"/>
      <w:rPr>
        <w:color w:val="1F3864" w:themeColor="accent1" w:themeShade="80"/>
      </w:rPr>
    </w:pPr>
  </w:p>
  <w:p w:rsidR="009302B0" w:rsidRPr="009302B0" w:rsidRDefault="00095EC2" w:rsidP="00E273FA">
    <w:pPr>
      <w:pStyle w:val="Encabezado"/>
      <w:jc w:val="center"/>
      <w:rPr>
        <w:b/>
        <w:color w:val="1F3864" w:themeColor="accent1" w:themeShade="80"/>
        <w:u w:val="single"/>
      </w:rPr>
    </w:pPr>
    <w:r>
      <w:rPr>
        <w:b/>
        <w:color w:val="1F3864" w:themeColor="accent1" w:themeShade="80"/>
        <w:u w:val="single"/>
      </w:rPr>
      <w:t>MISIÓN, VISIÓN Y OBJETIVOS</w:t>
    </w:r>
  </w:p>
  <w:p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922"/>
    <w:multiLevelType w:val="hybridMultilevel"/>
    <w:tmpl w:val="11C652B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209"/>
    <w:multiLevelType w:val="hybridMultilevel"/>
    <w:tmpl w:val="9DA2BB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A7110"/>
    <w:multiLevelType w:val="hybridMultilevel"/>
    <w:tmpl w:val="85406E1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083E36"/>
    <w:multiLevelType w:val="hybridMultilevel"/>
    <w:tmpl w:val="C226D7E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0A5070"/>
    <w:multiLevelType w:val="hybridMultilevel"/>
    <w:tmpl w:val="18BC349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A"/>
    <w:rsid w:val="00095EC2"/>
    <w:rsid w:val="001670BA"/>
    <w:rsid w:val="001F2591"/>
    <w:rsid w:val="0020447A"/>
    <w:rsid w:val="00245F5A"/>
    <w:rsid w:val="003132CF"/>
    <w:rsid w:val="0064013E"/>
    <w:rsid w:val="00734DC4"/>
    <w:rsid w:val="007449C2"/>
    <w:rsid w:val="00781B49"/>
    <w:rsid w:val="00811258"/>
    <w:rsid w:val="00811F8B"/>
    <w:rsid w:val="009302B0"/>
    <w:rsid w:val="00A36C92"/>
    <w:rsid w:val="00AE5865"/>
    <w:rsid w:val="00E273FA"/>
    <w:rsid w:val="00ED5F8E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  <w:style w:type="paragraph" w:styleId="Prrafodelista">
    <w:name w:val="List Paragraph"/>
    <w:basedOn w:val="Normal"/>
    <w:uiPriority w:val="34"/>
    <w:qFormat/>
    <w:rsid w:val="0078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  <w:style w:type="paragraph" w:styleId="Prrafodelista">
    <w:name w:val="List Paragraph"/>
    <w:basedOn w:val="Normal"/>
    <w:uiPriority w:val="34"/>
    <w:qFormat/>
    <w:rsid w:val="0078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8</cp:revision>
  <cp:lastPrinted>2020-10-06T15:42:00Z</cp:lastPrinted>
  <dcterms:created xsi:type="dcterms:W3CDTF">2020-10-06T13:51:00Z</dcterms:created>
  <dcterms:modified xsi:type="dcterms:W3CDTF">2022-02-11T17:38:00Z</dcterms:modified>
</cp:coreProperties>
</file>